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0708FA">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25B63">
        <w:tc>
          <w:tcPr>
            <w:tcW w:w="8978" w:type="dxa"/>
          </w:tcPr>
          <w:p w:rsidR="00D35AD6" w:rsidRPr="009E00C1" w:rsidRDefault="000708FA"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0708FA"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C517C8" w:rsidRPr="002E2C06" w:rsidRDefault="000708FA" w:rsidP="00C517C8">
      <w:pPr>
        <w:tabs>
          <w:tab w:val="left" w:pos="1620"/>
        </w:tabs>
        <w:rPr>
          <w:rFonts w:cs="Arial"/>
          <w:b/>
          <w:sz w:val="22"/>
          <w:szCs w:val="24"/>
          <w:lang w:val="es-MX"/>
        </w:rPr>
      </w:pPr>
      <w:r w:rsidRPr="002E2C06">
        <w:rPr>
          <w:rFonts w:cs="Arial"/>
          <w:b/>
          <w:sz w:val="22"/>
          <w:szCs w:val="24"/>
          <w:lang w:val="es-MX"/>
        </w:rPr>
        <w:lastRenderedPageBreak/>
        <w:t>PARA:</w:t>
      </w:r>
      <w:r w:rsidRPr="002E2C06">
        <w:rPr>
          <w:rFonts w:cs="Arial"/>
          <w:b/>
          <w:sz w:val="22"/>
          <w:szCs w:val="24"/>
          <w:lang w:val="es-MX"/>
        </w:rPr>
        <w:tab/>
        <w:t>Dra. MARÍA ADALGISA CÁCERES RAYO</w:t>
      </w:r>
    </w:p>
    <w:p w:rsidR="00C517C8" w:rsidRPr="002E2C06" w:rsidRDefault="000708FA" w:rsidP="00C517C8">
      <w:pPr>
        <w:ind w:left="1656"/>
        <w:rPr>
          <w:rFonts w:cs="Arial"/>
          <w:sz w:val="22"/>
          <w:szCs w:val="24"/>
          <w:lang w:val="es-MX"/>
        </w:rPr>
      </w:pPr>
      <w:r w:rsidRPr="002E2C06">
        <w:rPr>
          <w:rFonts w:cs="Arial"/>
          <w:sz w:val="22"/>
          <w:szCs w:val="24"/>
          <w:lang w:val="es-MX"/>
        </w:rPr>
        <w:t>Responsable Proceso de Responsabilidad Fiscal y Jurisdicción     Coactiva.</w:t>
      </w:r>
    </w:p>
    <w:p w:rsidR="00C517C8" w:rsidRPr="002E2C06" w:rsidRDefault="000708FA" w:rsidP="00C517C8">
      <w:pPr>
        <w:ind w:left="1656"/>
        <w:rPr>
          <w:rFonts w:cs="Arial"/>
          <w:sz w:val="22"/>
          <w:szCs w:val="24"/>
          <w:lang w:val="es-MX"/>
        </w:rPr>
      </w:pPr>
    </w:p>
    <w:p w:rsidR="00C517C8" w:rsidRPr="002E2C06" w:rsidRDefault="000708FA" w:rsidP="00C517C8">
      <w:pPr>
        <w:widowControl w:val="0"/>
        <w:autoSpaceDE w:val="0"/>
        <w:autoSpaceDN w:val="0"/>
        <w:adjustRightInd w:val="0"/>
        <w:rPr>
          <w:rFonts w:cs="Arial"/>
          <w:sz w:val="22"/>
          <w:szCs w:val="24"/>
        </w:rPr>
      </w:pPr>
      <w:r w:rsidRPr="002E2C06">
        <w:rPr>
          <w:rFonts w:cs="Arial"/>
          <w:b/>
          <w:bCs/>
          <w:sz w:val="22"/>
          <w:szCs w:val="24"/>
        </w:rPr>
        <w:t>DE:</w:t>
      </w:r>
      <w:r w:rsidRPr="002E2C06">
        <w:rPr>
          <w:rFonts w:cs="Arial"/>
          <w:sz w:val="22"/>
          <w:szCs w:val="24"/>
        </w:rPr>
        <w:tab/>
        <w:t xml:space="preserve">              </w:t>
      </w:r>
      <w:r w:rsidRPr="002E2C06">
        <w:rPr>
          <w:rFonts w:cs="Arial"/>
          <w:b/>
          <w:sz w:val="22"/>
          <w:szCs w:val="24"/>
        </w:rPr>
        <w:t>JEFE OFICINA DE CONTROL INTERNO</w:t>
      </w:r>
      <w:r w:rsidRPr="002E2C06">
        <w:rPr>
          <w:rFonts w:cs="Arial"/>
          <w:sz w:val="22"/>
          <w:szCs w:val="24"/>
        </w:rPr>
        <w:tab/>
      </w:r>
      <w:r w:rsidRPr="002E2C06">
        <w:rPr>
          <w:rFonts w:cs="Arial"/>
          <w:sz w:val="22"/>
          <w:szCs w:val="24"/>
        </w:rPr>
        <w:tab/>
        <w:t xml:space="preserve"> </w:t>
      </w:r>
    </w:p>
    <w:p w:rsidR="00C517C8" w:rsidRPr="002E2C06" w:rsidRDefault="000708FA" w:rsidP="00C517C8">
      <w:pPr>
        <w:widowControl w:val="0"/>
        <w:autoSpaceDE w:val="0"/>
        <w:autoSpaceDN w:val="0"/>
        <w:adjustRightInd w:val="0"/>
        <w:ind w:left="2124" w:hanging="2124"/>
        <w:rPr>
          <w:rFonts w:cs="Arial"/>
          <w:sz w:val="22"/>
          <w:szCs w:val="24"/>
        </w:rPr>
      </w:pPr>
    </w:p>
    <w:p w:rsidR="00C517C8" w:rsidRPr="002E2C06" w:rsidRDefault="000708FA" w:rsidP="00C517C8">
      <w:pPr>
        <w:ind w:left="1656" w:hanging="1656"/>
        <w:jc w:val="both"/>
        <w:rPr>
          <w:rFonts w:cs="Arial"/>
          <w:sz w:val="22"/>
          <w:szCs w:val="24"/>
          <w:lang w:val="es-MX"/>
        </w:rPr>
      </w:pPr>
      <w:r w:rsidRPr="002E2C06">
        <w:rPr>
          <w:rFonts w:cs="Arial"/>
          <w:b/>
          <w:sz w:val="22"/>
          <w:szCs w:val="24"/>
          <w:lang w:val="es-ES_tradnl"/>
        </w:rPr>
        <w:t xml:space="preserve">ASUNTO:    </w:t>
      </w:r>
      <w:r w:rsidRPr="002E2C06">
        <w:rPr>
          <w:rFonts w:cs="Arial"/>
          <w:b/>
          <w:sz w:val="22"/>
          <w:szCs w:val="24"/>
          <w:lang w:val="es-ES_tradnl"/>
        </w:rPr>
        <w:tab/>
      </w:r>
      <w:r w:rsidRPr="002E2C06">
        <w:rPr>
          <w:rFonts w:cs="Arial"/>
          <w:sz w:val="22"/>
          <w:szCs w:val="24"/>
          <w:lang w:val="es-ES_tradnl"/>
        </w:rPr>
        <w:t xml:space="preserve">Verificación Plan de Mejoramiento Acciones Correctivas y de Mejora y Evaluación y Seguimiento de Riesgos - Proceso </w:t>
      </w:r>
      <w:r w:rsidRPr="002E2C06">
        <w:rPr>
          <w:rFonts w:cs="Arial"/>
          <w:sz w:val="22"/>
          <w:szCs w:val="24"/>
          <w:lang w:val="es-MX"/>
        </w:rPr>
        <w:t>RFJC.</w:t>
      </w:r>
    </w:p>
    <w:p w:rsidR="00C517C8" w:rsidRPr="002E2C06" w:rsidRDefault="000708FA" w:rsidP="00C517C8">
      <w:pPr>
        <w:ind w:left="1656" w:hanging="240"/>
        <w:jc w:val="both"/>
        <w:rPr>
          <w:rFonts w:cs="Arial"/>
          <w:sz w:val="22"/>
          <w:szCs w:val="24"/>
          <w:lang w:val="es-ES_tradnl"/>
        </w:rPr>
      </w:pPr>
      <w:r w:rsidRPr="002E2C06">
        <w:rPr>
          <w:rFonts w:cs="Arial"/>
          <w:b/>
          <w:sz w:val="22"/>
          <w:szCs w:val="24"/>
          <w:lang w:val="es-MX"/>
        </w:rPr>
        <w:t xml:space="preserve">   </w:t>
      </w:r>
      <w:r w:rsidRPr="002E2C06">
        <w:rPr>
          <w:rFonts w:cs="Arial"/>
          <w:sz w:val="22"/>
          <w:szCs w:val="24"/>
          <w:lang w:val="es-MX"/>
        </w:rPr>
        <w:t xml:space="preserve"> </w:t>
      </w:r>
      <w:r w:rsidRPr="002E2C06">
        <w:rPr>
          <w:rFonts w:cs="Arial"/>
          <w:sz w:val="22"/>
          <w:szCs w:val="24"/>
          <w:lang w:val="es-ES_tradnl"/>
        </w:rPr>
        <w:t>Con corte a Diciembre de 2015.</w:t>
      </w:r>
    </w:p>
    <w:p w:rsidR="00C517C8" w:rsidRPr="002E2C06" w:rsidRDefault="000708FA" w:rsidP="00C517C8">
      <w:pPr>
        <w:tabs>
          <w:tab w:val="left" w:pos="360"/>
          <w:tab w:val="center" w:pos="4135"/>
        </w:tabs>
        <w:suppressAutoHyphens/>
        <w:ind w:left="2123" w:hanging="2123"/>
        <w:jc w:val="both"/>
        <w:rPr>
          <w:rFonts w:cs="Arial"/>
          <w:sz w:val="20"/>
          <w:szCs w:val="22"/>
          <w:lang w:val="es-ES_tradnl"/>
        </w:rPr>
      </w:pPr>
    </w:p>
    <w:p w:rsidR="00C517C8" w:rsidRPr="002E2C06" w:rsidRDefault="000708FA" w:rsidP="00C517C8">
      <w:pPr>
        <w:widowControl w:val="0"/>
        <w:autoSpaceDE w:val="0"/>
        <w:autoSpaceDN w:val="0"/>
        <w:adjustRightInd w:val="0"/>
        <w:spacing w:line="276" w:lineRule="auto"/>
        <w:ind w:left="2124" w:hanging="2124"/>
        <w:rPr>
          <w:rFonts w:cs="Arial"/>
          <w:sz w:val="22"/>
          <w:szCs w:val="24"/>
        </w:rPr>
      </w:pPr>
      <w:r w:rsidRPr="002E2C06">
        <w:rPr>
          <w:rFonts w:cs="Arial"/>
          <w:sz w:val="22"/>
          <w:szCs w:val="24"/>
        </w:rPr>
        <w:t>Respetada Doctora, atento saludo:</w:t>
      </w:r>
    </w:p>
    <w:p w:rsidR="00C517C8" w:rsidRPr="002E2C06" w:rsidRDefault="000708FA" w:rsidP="00C517C8">
      <w:pPr>
        <w:widowControl w:val="0"/>
        <w:autoSpaceDE w:val="0"/>
        <w:autoSpaceDN w:val="0"/>
        <w:adjustRightInd w:val="0"/>
        <w:spacing w:line="276" w:lineRule="auto"/>
        <w:jc w:val="both"/>
        <w:rPr>
          <w:rFonts w:cs="Arial"/>
          <w:sz w:val="22"/>
          <w:szCs w:val="24"/>
        </w:rPr>
      </w:pPr>
    </w:p>
    <w:p w:rsidR="00C517C8" w:rsidRPr="002E2C06" w:rsidRDefault="000708FA" w:rsidP="00C517C8">
      <w:pPr>
        <w:widowControl w:val="0"/>
        <w:autoSpaceDE w:val="0"/>
        <w:autoSpaceDN w:val="0"/>
        <w:adjustRightInd w:val="0"/>
        <w:jc w:val="both"/>
        <w:rPr>
          <w:rFonts w:cs="Arial"/>
          <w:sz w:val="22"/>
          <w:szCs w:val="24"/>
          <w:lang w:val="es-MX"/>
        </w:rPr>
      </w:pPr>
      <w:r w:rsidRPr="002E2C06">
        <w:rPr>
          <w:rFonts w:cs="Arial"/>
          <w:sz w:val="22"/>
          <w:szCs w:val="24"/>
        </w:rPr>
        <w:t>De conformidad con lo establecido en la Resolución Reglamentaria No. 021 de Junio 11 de 2015 y la programación establecida en el Programa Anual de Evaluaciones Independientes – PAEI 2015, de manera atenta me permito informar el resultado de la verificación</w:t>
      </w:r>
      <w:r w:rsidRPr="002E2C06">
        <w:rPr>
          <w:rFonts w:cs="Arial"/>
          <w:sz w:val="22"/>
          <w:szCs w:val="24"/>
        </w:rPr>
        <w:t xml:space="preserve"> al Plan de Mejoramiento - Anexo 1 - Acciones Correctivas y de Mejora y </w:t>
      </w:r>
      <w:r w:rsidRPr="002E2C06">
        <w:rPr>
          <w:rFonts w:cs="Arial"/>
          <w:sz w:val="22"/>
          <w:szCs w:val="24"/>
          <w:lang w:val="es-ES_tradnl"/>
        </w:rPr>
        <w:t>Evaluación y Seguimiento de Riesgos</w:t>
      </w:r>
      <w:r w:rsidRPr="002E2C06">
        <w:rPr>
          <w:rFonts w:cs="Arial"/>
          <w:sz w:val="22"/>
          <w:szCs w:val="24"/>
        </w:rPr>
        <w:t xml:space="preserve"> con corte a Diciembre de 2015, correspondiente al proceso de </w:t>
      </w:r>
      <w:r w:rsidRPr="002E2C06">
        <w:rPr>
          <w:rFonts w:cs="Arial"/>
          <w:sz w:val="22"/>
          <w:szCs w:val="24"/>
          <w:lang w:val="es-MX"/>
        </w:rPr>
        <w:t>Responsabilidad Fiscal y Jurisdicción     Coactiva.</w:t>
      </w:r>
    </w:p>
    <w:p w:rsidR="00C517C8" w:rsidRPr="002E2C06" w:rsidRDefault="000708FA" w:rsidP="00C517C8">
      <w:pPr>
        <w:widowControl w:val="0"/>
        <w:autoSpaceDE w:val="0"/>
        <w:autoSpaceDN w:val="0"/>
        <w:adjustRightInd w:val="0"/>
        <w:jc w:val="both"/>
        <w:rPr>
          <w:rFonts w:cs="Arial"/>
          <w:sz w:val="22"/>
          <w:szCs w:val="24"/>
        </w:rPr>
      </w:pPr>
    </w:p>
    <w:p w:rsidR="00C517C8" w:rsidRPr="002E2C06" w:rsidRDefault="000708FA" w:rsidP="00C517C8">
      <w:pPr>
        <w:jc w:val="both"/>
        <w:rPr>
          <w:rFonts w:cs="Arial"/>
          <w:sz w:val="22"/>
          <w:szCs w:val="24"/>
        </w:rPr>
      </w:pPr>
      <w:r w:rsidRPr="002E2C06">
        <w:rPr>
          <w:rFonts w:cs="Arial"/>
          <w:sz w:val="22"/>
          <w:szCs w:val="24"/>
        </w:rPr>
        <w:t>A la fecha el Plan de Mejoramiento</w:t>
      </w:r>
      <w:r w:rsidRPr="002E2C06">
        <w:rPr>
          <w:rFonts w:cs="Arial"/>
          <w:sz w:val="22"/>
          <w:szCs w:val="24"/>
        </w:rPr>
        <w:t xml:space="preserve"> - Anexo 1 - Acciones Correctivas y de Mejora está conformado por seis (6) hallazgos, de los cuales cinco corresponden al origen 6. Auditoría Fiscal y uno (1) de origen 4 Auditoria Externa al SIG.</w:t>
      </w:r>
    </w:p>
    <w:p w:rsidR="00C517C8" w:rsidRPr="002E2C06" w:rsidRDefault="000708FA" w:rsidP="00C517C8">
      <w:pPr>
        <w:jc w:val="both"/>
        <w:rPr>
          <w:rFonts w:cs="Arial"/>
          <w:sz w:val="22"/>
          <w:szCs w:val="24"/>
        </w:rPr>
      </w:pPr>
    </w:p>
    <w:p w:rsidR="00C517C8" w:rsidRPr="002E2C06" w:rsidRDefault="000708FA" w:rsidP="00C517C8">
      <w:pPr>
        <w:jc w:val="both"/>
        <w:rPr>
          <w:rFonts w:cs="Arial"/>
          <w:sz w:val="22"/>
          <w:szCs w:val="24"/>
        </w:rPr>
      </w:pPr>
      <w:r w:rsidRPr="002E2C06">
        <w:rPr>
          <w:rFonts w:cs="Arial"/>
          <w:sz w:val="22"/>
          <w:szCs w:val="24"/>
        </w:rPr>
        <w:t>En resumen, los resultados de la verificación efectuada al</w:t>
      </w:r>
      <w:r w:rsidRPr="002E2C06">
        <w:rPr>
          <w:rFonts w:cs="Arial"/>
          <w:sz w:val="22"/>
          <w:szCs w:val="24"/>
        </w:rPr>
        <w:t xml:space="preserve"> Plan de Mejoramiento del Proceso de Responsabilidad Fiscal y Jurisdicción Coactiva con corte a Diciembre de 2015, se pueden apreciar en la siguiente tabla:</w:t>
      </w:r>
    </w:p>
    <w:p w:rsidR="00C517C8" w:rsidRPr="002E2C06" w:rsidRDefault="000708FA" w:rsidP="00C517C8">
      <w:pPr>
        <w:jc w:val="both"/>
        <w:rPr>
          <w:rFonts w:cs="Arial"/>
          <w:szCs w:val="24"/>
        </w:rPr>
      </w:pPr>
    </w:p>
    <w:p w:rsidR="00C517C8" w:rsidRPr="002E2C06" w:rsidRDefault="000708FA" w:rsidP="00C517C8">
      <w:pPr>
        <w:widowControl w:val="0"/>
        <w:autoSpaceDE w:val="0"/>
        <w:autoSpaceDN w:val="0"/>
        <w:adjustRightInd w:val="0"/>
        <w:jc w:val="center"/>
        <w:rPr>
          <w:rFonts w:cs="Arial"/>
          <w:b/>
          <w:szCs w:val="24"/>
        </w:rPr>
      </w:pPr>
      <w:r w:rsidRPr="002E2C06">
        <w:rPr>
          <w:rFonts w:cs="Arial"/>
          <w:b/>
          <w:szCs w:val="24"/>
        </w:rPr>
        <w:t>Tabla 1</w:t>
      </w:r>
    </w:p>
    <w:p w:rsidR="00C517C8" w:rsidRPr="002E2C06" w:rsidRDefault="000708FA" w:rsidP="00C517C8">
      <w:pPr>
        <w:jc w:val="center"/>
        <w:rPr>
          <w:rFonts w:cs="Arial"/>
          <w:b/>
          <w:szCs w:val="24"/>
        </w:rPr>
      </w:pPr>
      <w:r w:rsidRPr="002E2C06">
        <w:rPr>
          <w:rFonts w:cs="Arial"/>
          <w:b/>
          <w:szCs w:val="24"/>
        </w:rPr>
        <w:t>Anexo 1 Plan de Mejoramiento – Acciones Correctivas y de Mejora</w:t>
      </w:r>
    </w:p>
    <w:p w:rsidR="00C517C8" w:rsidRPr="002E2C06" w:rsidRDefault="000708FA" w:rsidP="00C517C8">
      <w:pPr>
        <w:jc w:val="center"/>
        <w:rPr>
          <w:rFonts w:cs="Arial"/>
          <w:b/>
          <w:sz w:val="22"/>
          <w:szCs w:val="22"/>
        </w:rPr>
      </w:pP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1276"/>
        <w:gridCol w:w="1417"/>
        <w:gridCol w:w="1560"/>
        <w:gridCol w:w="1701"/>
        <w:gridCol w:w="992"/>
      </w:tblGrid>
      <w:tr w:rsidR="00025B63" w:rsidTr="00171258">
        <w:trPr>
          <w:trHeight w:val="762"/>
        </w:trPr>
        <w:tc>
          <w:tcPr>
            <w:tcW w:w="2410" w:type="dxa"/>
            <w:tcBorders>
              <w:top w:val="single" w:sz="6" w:space="0" w:color="000000"/>
              <w:left w:val="single" w:sz="6" w:space="0" w:color="000000"/>
              <w:bottom w:val="single" w:sz="6" w:space="0" w:color="000000"/>
              <w:right w:val="single" w:sz="6" w:space="0" w:color="000000"/>
            </w:tcBorders>
            <w:vAlign w:val="center"/>
            <w:hideMark/>
          </w:tcPr>
          <w:p w:rsidR="00C517C8" w:rsidRPr="002E2C06" w:rsidRDefault="000708FA" w:rsidP="00171258">
            <w:pPr>
              <w:jc w:val="center"/>
              <w:rPr>
                <w:rFonts w:cs="Arial"/>
                <w:b/>
                <w:sz w:val="18"/>
                <w:szCs w:val="18"/>
              </w:rPr>
            </w:pPr>
            <w:r w:rsidRPr="002E2C06">
              <w:rPr>
                <w:rFonts w:cs="Arial"/>
                <w:b/>
                <w:sz w:val="18"/>
                <w:szCs w:val="18"/>
              </w:rPr>
              <w:t>ORIGEN</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517C8" w:rsidRPr="002E2C06" w:rsidRDefault="000708FA" w:rsidP="00171258">
            <w:pPr>
              <w:jc w:val="center"/>
              <w:rPr>
                <w:rFonts w:cs="Arial"/>
                <w:b/>
                <w:sz w:val="18"/>
                <w:szCs w:val="18"/>
              </w:rPr>
            </w:pPr>
            <w:r w:rsidRPr="002E2C06">
              <w:rPr>
                <w:rFonts w:cs="Arial"/>
                <w:b/>
                <w:sz w:val="18"/>
                <w:szCs w:val="18"/>
              </w:rPr>
              <w:t>TIPO DE ACCIÓN</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C517C8" w:rsidRPr="002E2C06" w:rsidRDefault="000708FA" w:rsidP="00171258">
            <w:pPr>
              <w:jc w:val="center"/>
              <w:rPr>
                <w:rFonts w:cs="Arial"/>
                <w:b/>
                <w:sz w:val="18"/>
                <w:szCs w:val="18"/>
              </w:rPr>
            </w:pPr>
            <w:r w:rsidRPr="002E2C06">
              <w:rPr>
                <w:rFonts w:cs="Arial"/>
                <w:b/>
                <w:sz w:val="18"/>
                <w:szCs w:val="18"/>
              </w:rPr>
              <w:t xml:space="preserve">ABIERTOS </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C517C8" w:rsidRPr="002E2C06" w:rsidRDefault="000708FA" w:rsidP="00171258">
            <w:pPr>
              <w:jc w:val="center"/>
              <w:rPr>
                <w:rFonts w:cs="Arial"/>
                <w:b/>
                <w:sz w:val="18"/>
                <w:szCs w:val="18"/>
              </w:rPr>
            </w:pPr>
            <w:r w:rsidRPr="002E2C06">
              <w:rPr>
                <w:rFonts w:cs="Arial"/>
                <w:b/>
                <w:sz w:val="18"/>
                <w:szCs w:val="18"/>
              </w:rPr>
              <w:t>CERRADOS</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C517C8" w:rsidRPr="002E2C06" w:rsidRDefault="000708FA" w:rsidP="00171258">
            <w:pPr>
              <w:jc w:val="center"/>
              <w:rPr>
                <w:rFonts w:cs="Arial"/>
                <w:b/>
                <w:sz w:val="18"/>
                <w:szCs w:val="18"/>
              </w:rPr>
            </w:pPr>
            <w:r w:rsidRPr="002E2C06">
              <w:rPr>
                <w:rFonts w:cs="Arial"/>
                <w:b/>
                <w:sz w:val="18"/>
                <w:szCs w:val="18"/>
              </w:rPr>
              <w:t>SE SUGIERE CIERRE</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517C8" w:rsidRPr="002E2C06" w:rsidRDefault="000708FA" w:rsidP="00171258">
            <w:pPr>
              <w:jc w:val="center"/>
              <w:rPr>
                <w:rFonts w:cs="Arial"/>
                <w:b/>
                <w:sz w:val="18"/>
                <w:szCs w:val="18"/>
              </w:rPr>
            </w:pPr>
            <w:r w:rsidRPr="002E2C06">
              <w:rPr>
                <w:rFonts w:cs="Arial"/>
                <w:b/>
                <w:sz w:val="18"/>
                <w:szCs w:val="18"/>
              </w:rPr>
              <w:t xml:space="preserve">TOTAL </w:t>
            </w:r>
          </w:p>
        </w:tc>
      </w:tr>
      <w:tr w:rsidR="00025B63" w:rsidTr="00171258">
        <w:trPr>
          <w:trHeight w:val="370"/>
        </w:trPr>
        <w:tc>
          <w:tcPr>
            <w:tcW w:w="2410" w:type="dxa"/>
            <w:tcBorders>
              <w:top w:val="single" w:sz="6" w:space="0" w:color="000000"/>
              <w:left w:val="single" w:sz="6" w:space="0" w:color="000000"/>
              <w:bottom w:val="single" w:sz="6" w:space="0" w:color="000000"/>
              <w:right w:val="single" w:sz="6" w:space="0" w:color="000000"/>
            </w:tcBorders>
            <w:vAlign w:val="center"/>
          </w:tcPr>
          <w:p w:rsidR="00C517C8" w:rsidRPr="002E2C06" w:rsidRDefault="000708FA" w:rsidP="00171258">
            <w:pPr>
              <w:jc w:val="both"/>
              <w:rPr>
                <w:rFonts w:cs="Arial"/>
                <w:sz w:val="18"/>
                <w:szCs w:val="18"/>
              </w:rPr>
            </w:pPr>
            <w:r w:rsidRPr="002E2C06">
              <w:rPr>
                <w:rFonts w:cs="Arial"/>
                <w:sz w:val="18"/>
                <w:szCs w:val="18"/>
              </w:rPr>
              <w:t>4. Auditoría Externa al SIG</w:t>
            </w:r>
          </w:p>
        </w:tc>
        <w:tc>
          <w:tcPr>
            <w:tcW w:w="1276" w:type="dxa"/>
            <w:tcBorders>
              <w:top w:val="single" w:sz="6" w:space="0" w:color="000000"/>
              <w:left w:val="single" w:sz="6" w:space="0" w:color="000000"/>
              <w:bottom w:val="single" w:sz="6" w:space="0" w:color="000000"/>
              <w:right w:val="single" w:sz="6" w:space="0" w:color="000000"/>
            </w:tcBorders>
            <w:vAlign w:val="center"/>
          </w:tcPr>
          <w:p w:rsidR="00C517C8" w:rsidRPr="002E2C06" w:rsidRDefault="000708FA" w:rsidP="00171258">
            <w:pPr>
              <w:jc w:val="center"/>
              <w:rPr>
                <w:rFonts w:cs="Arial"/>
                <w:sz w:val="18"/>
                <w:szCs w:val="18"/>
              </w:rPr>
            </w:pPr>
            <w:r w:rsidRPr="002E2C06">
              <w:rPr>
                <w:rFonts w:cs="Arial"/>
                <w:sz w:val="18"/>
                <w:szCs w:val="18"/>
              </w:rPr>
              <w:t>Correctiva</w:t>
            </w:r>
          </w:p>
        </w:tc>
        <w:tc>
          <w:tcPr>
            <w:tcW w:w="1417" w:type="dxa"/>
            <w:tcBorders>
              <w:top w:val="single" w:sz="6" w:space="0" w:color="000000"/>
              <w:left w:val="single" w:sz="6" w:space="0" w:color="000000"/>
              <w:bottom w:val="single" w:sz="6" w:space="0" w:color="000000"/>
              <w:right w:val="single" w:sz="6" w:space="0" w:color="000000"/>
            </w:tcBorders>
            <w:vAlign w:val="center"/>
          </w:tcPr>
          <w:p w:rsidR="00C517C8" w:rsidRPr="002E2C06" w:rsidRDefault="000708FA" w:rsidP="00171258">
            <w:pPr>
              <w:jc w:val="center"/>
              <w:rPr>
                <w:rFonts w:cs="Arial"/>
                <w:sz w:val="18"/>
                <w:szCs w:val="18"/>
              </w:rPr>
            </w:pPr>
            <w:r w:rsidRPr="002E2C06">
              <w:rPr>
                <w:rFonts w:cs="Arial"/>
                <w:sz w:val="18"/>
                <w:szCs w:val="18"/>
              </w:rPr>
              <w:t>0</w:t>
            </w:r>
          </w:p>
        </w:tc>
        <w:tc>
          <w:tcPr>
            <w:tcW w:w="1560" w:type="dxa"/>
            <w:tcBorders>
              <w:top w:val="single" w:sz="6" w:space="0" w:color="000000"/>
              <w:left w:val="single" w:sz="6" w:space="0" w:color="000000"/>
              <w:bottom w:val="single" w:sz="6" w:space="0" w:color="000000"/>
              <w:right w:val="single" w:sz="6" w:space="0" w:color="000000"/>
            </w:tcBorders>
            <w:vAlign w:val="center"/>
          </w:tcPr>
          <w:p w:rsidR="00C517C8" w:rsidRPr="002E2C06" w:rsidRDefault="000708FA" w:rsidP="00171258">
            <w:pPr>
              <w:jc w:val="center"/>
              <w:rPr>
                <w:rFonts w:cs="Arial"/>
                <w:sz w:val="18"/>
                <w:szCs w:val="18"/>
              </w:rPr>
            </w:pPr>
            <w:r w:rsidRPr="002E2C06">
              <w:rPr>
                <w:rFonts w:cs="Arial"/>
                <w:sz w:val="18"/>
                <w:szCs w:val="18"/>
              </w:rPr>
              <w:t>0</w:t>
            </w:r>
          </w:p>
        </w:tc>
        <w:tc>
          <w:tcPr>
            <w:tcW w:w="1701" w:type="dxa"/>
            <w:tcBorders>
              <w:top w:val="single" w:sz="6" w:space="0" w:color="000000"/>
              <w:left w:val="single" w:sz="6" w:space="0" w:color="000000"/>
              <w:bottom w:val="single" w:sz="6" w:space="0" w:color="000000"/>
              <w:right w:val="single" w:sz="6" w:space="0" w:color="000000"/>
            </w:tcBorders>
            <w:vAlign w:val="center"/>
          </w:tcPr>
          <w:p w:rsidR="00C517C8" w:rsidRPr="002E2C06" w:rsidRDefault="000708FA" w:rsidP="00171258">
            <w:pPr>
              <w:jc w:val="center"/>
              <w:rPr>
                <w:rFonts w:cs="Arial"/>
                <w:sz w:val="18"/>
                <w:szCs w:val="18"/>
              </w:rPr>
            </w:pPr>
            <w:r w:rsidRPr="002E2C06">
              <w:rPr>
                <w:rFonts w:cs="Arial"/>
                <w:sz w:val="18"/>
                <w:szCs w:val="18"/>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C517C8" w:rsidRPr="002E2C06" w:rsidRDefault="000708FA" w:rsidP="00171258">
            <w:pPr>
              <w:jc w:val="center"/>
              <w:rPr>
                <w:rFonts w:cs="Arial"/>
                <w:iCs/>
                <w:sz w:val="18"/>
                <w:szCs w:val="18"/>
              </w:rPr>
            </w:pPr>
            <w:r w:rsidRPr="002E2C06">
              <w:rPr>
                <w:rFonts w:cs="Arial"/>
                <w:iCs/>
                <w:sz w:val="18"/>
                <w:szCs w:val="18"/>
              </w:rPr>
              <w:t>1</w:t>
            </w:r>
          </w:p>
        </w:tc>
      </w:tr>
      <w:tr w:rsidR="00025B63" w:rsidTr="00171258">
        <w:trPr>
          <w:trHeight w:val="370"/>
        </w:trPr>
        <w:tc>
          <w:tcPr>
            <w:tcW w:w="2410" w:type="dxa"/>
            <w:tcBorders>
              <w:top w:val="single" w:sz="6" w:space="0" w:color="000000"/>
              <w:left w:val="single" w:sz="6" w:space="0" w:color="000000"/>
              <w:bottom w:val="single" w:sz="6" w:space="0" w:color="000000"/>
              <w:right w:val="single" w:sz="6" w:space="0" w:color="000000"/>
            </w:tcBorders>
            <w:vAlign w:val="center"/>
          </w:tcPr>
          <w:p w:rsidR="00C517C8" w:rsidRPr="002E2C06" w:rsidRDefault="000708FA" w:rsidP="00171258">
            <w:pPr>
              <w:jc w:val="both"/>
              <w:rPr>
                <w:rFonts w:cs="Arial"/>
                <w:sz w:val="18"/>
                <w:szCs w:val="18"/>
              </w:rPr>
            </w:pPr>
            <w:r w:rsidRPr="002E2C06">
              <w:rPr>
                <w:rFonts w:cs="Arial"/>
                <w:sz w:val="18"/>
                <w:szCs w:val="18"/>
              </w:rPr>
              <w:t>6 Auditoría Fiscal</w:t>
            </w:r>
          </w:p>
        </w:tc>
        <w:tc>
          <w:tcPr>
            <w:tcW w:w="1276" w:type="dxa"/>
            <w:tcBorders>
              <w:top w:val="single" w:sz="6" w:space="0" w:color="000000"/>
              <w:left w:val="single" w:sz="6" w:space="0" w:color="000000"/>
              <w:bottom w:val="single" w:sz="6" w:space="0" w:color="000000"/>
              <w:right w:val="single" w:sz="6" w:space="0" w:color="000000"/>
            </w:tcBorders>
            <w:vAlign w:val="center"/>
          </w:tcPr>
          <w:p w:rsidR="00C517C8" w:rsidRPr="002E2C06" w:rsidRDefault="000708FA" w:rsidP="00171258">
            <w:pPr>
              <w:jc w:val="center"/>
              <w:rPr>
                <w:rFonts w:cs="Arial"/>
                <w:sz w:val="18"/>
                <w:szCs w:val="18"/>
              </w:rPr>
            </w:pPr>
            <w:r w:rsidRPr="002E2C06">
              <w:rPr>
                <w:rFonts w:cs="Arial"/>
                <w:sz w:val="18"/>
                <w:szCs w:val="18"/>
              </w:rPr>
              <w:t xml:space="preserve">Correctiva </w:t>
            </w:r>
          </w:p>
        </w:tc>
        <w:tc>
          <w:tcPr>
            <w:tcW w:w="1417" w:type="dxa"/>
            <w:tcBorders>
              <w:top w:val="single" w:sz="6" w:space="0" w:color="000000"/>
              <w:left w:val="single" w:sz="6" w:space="0" w:color="000000"/>
              <w:bottom w:val="single" w:sz="6" w:space="0" w:color="000000"/>
              <w:right w:val="single" w:sz="6" w:space="0" w:color="000000"/>
            </w:tcBorders>
            <w:vAlign w:val="center"/>
          </w:tcPr>
          <w:p w:rsidR="00C517C8" w:rsidRPr="002E2C06" w:rsidRDefault="000708FA" w:rsidP="00171258">
            <w:pPr>
              <w:jc w:val="center"/>
              <w:rPr>
                <w:rFonts w:cs="Arial"/>
                <w:sz w:val="18"/>
                <w:szCs w:val="18"/>
              </w:rPr>
            </w:pPr>
            <w:r w:rsidRPr="002E2C06">
              <w:rPr>
                <w:rFonts w:cs="Arial"/>
                <w:sz w:val="18"/>
                <w:szCs w:val="18"/>
              </w:rPr>
              <w:t>4</w:t>
            </w:r>
          </w:p>
        </w:tc>
        <w:tc>
          <w:tcPr>
            <w:tcW w:w="1560" w:type="dxa"/>
            <w:tcBorders>
              <w:top w:val="single" w:sz="6" w:space="0" w:color="000000"/>
              <w:left w:val="single" w:sz="6" w:space="0" w:color="000000"/>
              <w:bottom w:val="single" w:sz="6" w:space="0" w:color="000000"/>
              <w:right w:val="single" w:sz="6" w:space="0" w:color="000000"/>
            </w:tcBorders>
            <w:vAlign w:val="center"/>
          </w:tcPr>
          <w:p w:rsidR="00C517C8" w:rsidRPr="002E2C06" w:rsidRDefault="000708FA" w:rsidP="00171258">
            <w:pPr>
              <w:jc w:val="center"/>
              <w:rPr>
                <w:rFonts w:cs="Arial"/>
                <w:sz w:val="18"/>
                <w:szCs w:val="18"/>
              </w:rPr>
            </w:pPr>
            <w:r w:rsidRPr="002E2C06">
              <w:rPr>
                <w:rFonts w:cs="Arial"/>
                <w:sz w:val="18"/>
                <w:szCs w:val="18"/>
              </w:rPr>
              <w:t>0</w:t>
            </w:r>
          </w:p>
        </w:tc>
        <w:tc>
          <w:tcPr>
            <w:tcW w:w="1701" w:type="dxa"/>
            <w:tcBorders>
              <w:top w:val="single" w:sz="6" w:space="0" w:color="000000"/>
              <w:left w:val="single" w:sz="6" w:space="0" w:color="000000"/>
              <w:bottom w:val="single" w:sz="6" w:space="0" w:color="000000"/>
              <w:right w:val="single" w:sz="6" w:space="0" w:color="000000"/>
            </w:tcBorders>
            <w:vAlign w:val="center"/>
          </w:tcPr>
          <w:p w:rsidR="00C517C8" w:rsidRPr="002E2C06" w:rsidRDefault="000708FA" w:rsidP="00171258">
            <w:pPr>
              <w:jc w:val="center"/>
              <w:rPr>
                <w:rFonts w:cs="Arial"/>
                <w:sz w:val="18"/>
                <w:szCs w:val="18"/>
              </w:rPr>
            </w:pPr>
            <w:r w:rsidRPr="002E2C06">
              <w:rPr>
                <w:rFonts w:cs="Arial"/>
                <w:sz w:val="18"/>
                <w:szCs w:val="18"/>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C517C8" w:rsidRPr="002E2C06" w:rsidRDefault="000708FA" w:rsidP="00171258">
            <w:pPr>
              <w:jc w:val="center"/>
              <w:rPr>
                <w:rFonts w:cs="Arial"/>
                <w:iCs/>
                <w:sz w:val="18"/>
                <w:szCs w:val="18"/>
              </w:rPr>
            </w:pPr>
            <w:r w:rsidRPr="002E2C06">
              <w:rPr>
                <w:rFonts w:cs="Arial"/>
                <w:iCs/>
                <w:sz w:val="18"/>
                <w:szCs w:val="18"/>
              </w:rPr>
              <w:t>5</w:t>
            </w:r>
          </w:p>
        </w:tc>
      </w:tr>
      <w:tr w:rsidR="00025B63" w:rsidTr="00171258">
        <w:trPr>
          <w:trHeight w:val="370"/>
        </w:trPr>
        <w:tc>
          <w:tcPr>
            <w:tcW w:w="3686"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517C8" w:rsidRPr="002E2C06" w:rsidRDefault="000708FA" w:rsidP="00171258">
            <w:pPr>
              <w:jc w:val="center"/>
              <w:rPr>
                <w:rFonts w:cs="Arial"/>
                <w:b/>
                <w:sz w:val="18"/>
                <w:szCs w:val="18"/>
              </w:rPr>
            </w:pPr>
            <w:r w:rsidRPr="002E2C06">
              <w:rPr>
                <w:rFonts w:cs="Arial"/>
                <w:b/>
                <w:sz w:val="18"/>
                <w:szCs w:val="18"/>
              </w:rPr>
              <w:t>TOTAL GENERAL</w:t>
            </w:r>
          </w:p>
        </w:tc>
        <w:tc>
          <w:tcPr>
            <w:tcW w:w="141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517C8" w:rsidRPr="002E2C06" w:rsidRDefault="000708FA" w:rsidP="00171258">
            <w:pPr>
              <w:jc w:val="center"/>
              <w:rPr>
                <w:rFonts w:cs="Arial"/>
                <w:iCs/>
                <w:sz w:val="18"/>
                <w:szCs w:val="18"/>
              </w:rPr>
            </w:pPr>
            <w:r w:rsidRPr="002E2C06">
              <w:rPr>
                <w:rFonts w:cs="Arial"/>
                <w:iCs/>
                <w:sz w:val="18"/>
                <w:szCs w:val="18"/>
              </w:rPr>
              <w:t>4</w:t>
            </w:r>
          </w:p>
        </w:tc>
        <w:tc>
          <w:tcPr>
            <w:tcW w:w="15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517C8" w:rsidRPr="002E2C06" w:rsidRDefault="000708FA" w:rsidP="00171258">
            <w:pPr>
              <w:jc w:val="center"/>
              <w:rPr>
                <w:rFonts w:cs="Arial"/>
                <w:iCs/>
                <w:sz w:val="18"/>
                <w:szCs w:val="18"/>
              </w:rPr>
            </w:pPr>
            <w:r w:rsidRPr="002E2C06">
              <w:rPr>
                <w:rFonts w:cs="Arial"/>
                <w:iCs/>
                <w:sz w:val="18"/>
                <w:szCs w:val="18"/>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517C8" w:rsidRPr="002E2C06" w:rsidRDefault="000708FA" w:rsidP="00171258">
            <w:pPr>
              <w:jc w:val="center"/>
              <w:rPr>
                <w:rFonts w:cs="Arial"/>
                <w:iCs/>
                <w:sz w:val="18"/>
                <w:szCs w:val="18"/>
              </w:rPr>
            </w:pPr>
            <w:r w:rsidRPr="002E2C06">
              <w:rPr>
                <w:rFonts w:cs="Arial"/>
                <w:iCs/>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517C8" w:rsidRPr="002E2C06" w:rsidRDefault="000708FA" w:rsidP="00171258">
            <w:pPr>
              <w:jc w:val="center"/>
              <w:rPr>
                <w:rFonts w:cs="Arial"/>
                <w:iCs/>
                <w:sz w:val="18"/>
                <w:szCs w:val="18"/>
              </w:rPr>
            </w:pPr>
            <w:r w:rsidRPr="002E2C06">
              <w:rPr>
                <w:rFonts w:cs="Arial"/>
                <w:iCs/>
                <w:sz w:val="18"/>
                <w:szCs w:val="18"/>
              </w:rPr>
              <w:t>6</w:t>
            </w:r>
          </w:p>
        </w:tc>
      </w:tr>
    </w:tbl>
    <w:p w:rsidR="00C517C8" w:rsidRDefault="000708FA" w:rsidP="00C517C8">
      <w:pPr>
        <w:jc w:val="both"/>
        <w:rPr>
          <w:rFonts w:cs="Arial"/>
          <w:sz w:val="20"/>
        </w:rPr>
      </w:pPr>
      <w:r w:rsidRPr="002E2C06">
        <w:rPr>
          <w:rFonts w:cs="Arial"/>
          <w:sz w:val="20"/>
        </w:rPr>
        <w:t xml:space="preserve">Fuente: </w:t>
      </w:r>
      <w:r>
        <w:rPr>
          <w:rFonts w:cs="Arial"/>
          <w:sz w:val="20"/>
        </w:rPr>
        <w:t>Verificación Oficina de Control Interno – Diciembre de 2015.</w:t>
      </w:r>
    </w:p>
    <w:p w:rsidR="00C517C8" w:rsidRPr="002E2C06" w:rsidRDefault="000708FA" w:rsidP="00C517C8">
      <w:pPr>
        <w:jc w:val="both"/>
        <w:rPr>
          <w:rFonts w:cs="Arial"/>
          <w:sz w:val="20"/>
        </w:rPr>
      </w:pPr>
      <w:r>
        <w:rPr>
          <w:rFonts w:cs="Arial"/>
          <w:sz w:val="20"/>
        </w:rPr>
        <w:t xml:space="preserve"> </w:t>
      </w:r>
    </w:p>
    <w:p w:rsidR="00C517C8" w:rsidRPr="002E2C06" w:rsidRDefault="000708FA" w:rsidP="00C517C8">
      <w:pPr>
        <w:jc w:val="both"/>
        <w:rPr>
          <w:rFonts w:cs="Arial"/>
          <w:szCs w:val="24"/>
        </w:rPr>
      </w:pPr>
      <w:r w:rsidRPr="002E2C06">
        <w:rPr>
          <w:rFonts w:cs="Arial"/>
          <w:szCs w:val="24"/>
        </w:rPr>
        <w:t xml:space="preserve">Como resultado de la </w:t>
      </w:r>
      <w:r w:rsidRPr="002E2C06">
        <w:rPr>
          <w:rFonts w:cs="Arial"/>
          <w:szCs w:val="24"/>
        </w:rPr>
        <w:t>verificación, a continuación se detalla el estado de cada uno de los hallazgos incluidos en el Plan de Mejoramiento - Acciones correctivas y de mejora, así:</w:t>
      </w:r>
    </w:p>
    <w:p w:rsidR="00C517C8" w:rsidRPr="002E2C06" w:rsidRDefault="000708FA" w:rsidP="00C517C8">
      <w:pPr>
        <w:jc w:val="both"/>
        <w:rPr>
          <w:rFonts w:cs="Arial"/>
          <w:szCs w:val="24"/>
        </w:rPr>
      </w:pPr>
    </w:p>
    <w:p w:rsidR="00C517C8" w:rsidRPr="002E2C06" w:rsidRDefault="000708FA" w:rsidP="00C517C8">
      <w:pPr>
        <w:jc w:val="both"/>
        <w:rPr>
          <w:rFonts w:cs="Arial"/>
          <w:b/>
          <w:szCs w:val="24"/>
        </w:rPr>
      </w:pPr>
      <w:r w:rsidRPr="002E2C06">
        <w:rPr>
          <w:rFonts w:cs="Arial"/>
          <w:b/>
          <w:szCs w:val="24"/>
        </w:rPr>
        <w:t>ACCIONES CORRECTIVAS</w:t>
      </w:r>
    </w:p>
    <w:p w:rsidR="00C517C8" w:rsidRPr="002E2C06" w:rsidRDefault="000708FA" w:rsidP="00C517C8">
      <w:pPr>
        <w:jc w:val="both"/>
        <w:rPr>
          <w:rFonts w:cs="Arial"/>
          <w:b/>
          <w:szCs w:val="24"/>
        </w:rPr>
      </w:pPr>
    </w:p>
    <w:p w:rsidR="00C517C8" w:rsidRPr="002E2C06" w:rsidRDefault="000708FA" w:rsidP="00C517C8">
      <w:pPr>
        <w:jc w:val="both"/>
        <w:rPr>
          <w:rFonts w:cs="Arial"/>
          <w:szCs w:val="24"/>
        </w:rPr>
      </w:pPr>
      <w:r w:rsidRPr="002E2C06">
        <w:rPr>
          <w:rFonts w:cs="Arial"/>
          <w:szCs w:val="24"/>
        </w:rPr>
        <w:t xml:space="preserve">Del total de </w:t>
      </w:r>
      <w:r>
        <w:rPr>
          <w:rFonts w:cs="Arial"/>
          <w:szCs w:val="24"/>
        </w:rPr>
        <w:t xml:space="preserve">6 </w:t>
      </w:r>
      <w:r w:rsidRPr="002E2C06">
        <w:rPr>
          <w:rFonts w:cs="Arial"/>
          <w:szCs w:val="24"/>
        </w:rPr>
        <w:t>hallazgos y no conformidades incluidos en el anexo 1 se encon</w:t>
      </w:r>
      <w:r w:rsidRPr="002E2C06">
        <w:rPr>
          <w:rFonts w:cs="Arial"/>
          <w:szCs w:val="24"/>
        </w:rPr>
        <w:t xml:space="preserve">tró que </w:t>
      </w:r>
      <w:r>
        <w:rPr>
          <w:rFonts w:cs="Arial"/>
          <w:szCs w:val="24"/>
        </w:rPr>
        <w:t xml:space="preserve">1 DE ORIGEN 4 - </w:t>
      </w:r>
      <w:r w:rsidRPr="002E2C06">
        <w:rPr>
          <w:rFonts w:cs="Arial"/>
          <w:szCs w:val="24"/>
        </w:rPr>
        <w:t xml:space="preserve"> Auditora Externa de Entes Certificados y</w:t>
      </w:r>
      <w:r>
        <w:rPr>
          <w:rFonts w:cs="Arial"/>
          <w:szCs w:val="24"/>
        </w:rPr>
        <w:t xml:space="preserve"> 4 </w:t>
      </w:r>
      <w:r w:rsidRPr="002E2C06">
        <w:rPr>
          <w:rFonts w:cs="Arial"/>
          <w:szCs w:val="24"/>
        </w:rPr>
        <w:t xml:space="preserve"> que corresponde a Origen</w:t>
      </w:r>
      <w:r>
        <w:rPr>
          <w:rFonts w:cs="Arial"/>
          <w:szCs w:val="24"/>
        </w:rPr>
        <w:t xml:space="preserve"> 6- </w:t>
      </w:r>
      <w:r w:rsidRPr="002E2C06">
        <w:rPr>
          <w:rFonts w:cs="Arial"/>
          <w:szCs w:val="24"/>
        </w:rPr>
        <w:t xml:space="preserve"> Auditoria Fiscal. </w:t>
      </w:r>
    </w:p>
    <w:p w:rsidR="00C517C8" w:rsidRPr="002E2C06" w:rsidRDefault="000708FA" w:rsidP="00C517C8">
      <w:pPr>
        <w:tabs>
          <w:tab w:val="left" w:pos="3400"/>
        </w:tabs>
        <w:jc w:val="both"/>
        <w:rPr>
          <w:rFonts w:cs="Arial"/>
          <w:b/>
          <w:szCs w:val="24"/>
        </w:rPr>
      </w:pPr>
    </w:p>
    <w:p w:rsidR="00C517C8" w:rsidRPr="002E2C06" w:rsidRDefault="000708FA" w:rsidP="00C517C8">
      <w:pPr>
        <w:widowControl w:val="0"/>
        <w:numPr>
          <w:ilvl w:val="0"/>
          <w:numId w:val="3"/>
        </w:numPr>
        <w:autoSpaceDE w:val="0"/>
        <w:autoSpaceDN w:val="0"/>
        <w:adjustRightInd w:val="0"/>
        <w:jc w:val="both"/>
        <w:rPr>
          <w:rFonts w:cs="Arial"/>
          <w:b/>
          <w:szCs w:val="24"/>
        </w:rPr>
      </w:pPr>
      <w:r w:rsidRPr="002E2C06">
        <w:rPr>
          <w:rFonts w:cs="Arial"/>
          <w:b/>
          <w:szCs w:val="24"/>
        </w:rPr>
        <w:t>ACCIONES CORRECTIVAS</w:t>
      </w:r>
    </w:p>
    <w:p w:rsidR="00C517C8" w:rsidRPr="002E2C06" w:rsidRDefault="000708FA" w:rsidP="00C517C8">
      <w:pPr>
        <w:widowControl w:val="0"/>
        <w:autoSpaceDE w:val="0"/>
        <w:autoSpaceDN w:val="0"/>
        <w:adjustRightInd w:val="0"/>
        <w:jc w:val="both"/>
        <w:rPr>
          <w:rFonts w:cs="Arial"/>
          <w:b/>
          <w:szCs w:val="24"/>
        </w:rPr>
      </w:pPr>
    </w:p>
    <w:p w:rsidR="00C517C8" w:rsidRPr="002E2C06" w:rsidRDefault="000708FA" w:rsidP="00C517C8">
      <w:pPr>
        <w:widowControl w:val="0"/>
        <w:autoSpaceDE w:val="0"/>
        <w:autoSpaceDN w:val="0"/>
        <w:adjustRightInd w:val="0"/>
        <w:jc w:val="both"/>
        <w:rPr>
          <w:rFonts w:cs="Arial"/>
          <w:b/>
          <w:szCs w:val="24"/>
        </w:rPr>
      </w:pPr>
      <w:r w:rsidRPr="002E2C06">
        <w:rPr>
          <w:rFonts w:cs="Arial"/>
          <w:b/>
          <w:szCs w:val="24"/>
        </w:rPr>
        <w:t xml:space="preserve">Hallazgos con sugerencia de cierre  </w:t>
      </w:r>
    </w:p>
    <w:p w:rsidR="00C517C8" w:rsidRPr="002E2C06" w:rsidRDefault="000708FA" w:rsidP="00C517C8">
      <w:pPr>
        <w:widowControl w:val="0"/>
        <w:autoSpaceDE w:val="0"/>
        <w:autoSpaceDN w:val="0"/>
        <w:adjustRightInd w:val="0"/>
        <w:jc w:val="both"/>
        <w:rPr>
          <w:rFonts w:cs="Arial"/>
          <w:b/>
          <w:szCs w:val="24"/>
        </w:rPr>
      </w:pPr>
    </w:p>
    <w:p w:rsidR="00C517C8" w:rsidRPr="002E2C06" w:rsidRDefault="000708FA" w:rsidP="00C517C8">
      <w:pPr>
        <w:widowControl w:val="0"/>
        <w:autoSpaceDE w:val="0"/>
        <w:autoSpaceDN w:val="0"/>
        <w:adjustRightInd w:val="0"/>
        <w:jc w:val="both"/>
        <w:rPr>
          <w:rFonts w:cs="Arial"/>
          <w:b/>
          <w:bCs/>
          <w:szCs w:val="24"/>
        </w:rPr>
      </w:pPr>
      <w:r w:rsidRPr="002E2C06">
        <w:rPr>
          <w:rFonts w:cs="Arial"/>
          <w:b/>
          <w:bCs/>
          <w:szCs w:val="24"/>
        </w:rPr>
        <w:t>Origen 6 – Auditoria Fiscal.</w:t>
      </w:r>
    </w:p>
    <w:p w:rsidR="00C517C8" w:rsidRPr="002E2C06" w:rsidRDefault="000708FA" w:rsidP="00C517C8">
      <w:pPr>
        <w:widowControl w:val="0"/>
        <w:autoSpaceDE w:val="0"/>
        <w:autoSpaceDN w:val="0"/>
        <w:adjustRightInd w:val="0"/>
        <w:jc w:val="both"/>
        <w:rPr>
          <w:rFonts w:cs="Arial"/>
          <w:szCs w:val="24"/>
        </w:rPr>
      </w:pPr>
    </w:p>
    <w:p w:rsidR="00C517C8" w:rsidRPr="002E2C06" w:rsidRDefault="000708FA" w:rsidP="00C517C8">
      <w:pPr>
        <w:numPr>
          <w:ilvl w:val="0"/>
          <w:numId w:val="2"/>
        </w:numPr>
        <w:jc w:val="both"/>
        <w:rPr>
          <w:rFonts w:cs="Arial"/>
          <w:b/>
          <w:sz w:val="22"/>
          <w:szCs w:val="22"/>
        </w:rPr>
      </w:pPr>
      <w:r w:rsidRPr="002E2C06">
        <w:rPr>
          <w:rFonts w:cs="Arial"/>
          <w:sz w:val="22"/>
          <w:szCs w:val="22"/>
        </w:rPr>
        <w:t>“</w:t>
      </w:r>
      <w:r w:rsidRPr="002E2C06">
        <w:rPr>
          <w:rFonts w:cs="Arial"/>
          <w:i/>
          <w:sz w:val="22"/>
          <w:szCs w:val="22"/>
        </w:rPr>
        <w:t xml:space="preserve">2.10.1.11 Ocurrencia del fenómeno de la </w:t>
      </w:r>
      <w:r w:rsidRPr="002E2C06">
        <w:rPr>
          <w:rFonts w:cs="Arial"/>
          <w:i/>
          <w:sz w:val="22"/>
          <w:szCs w:val="22"/>
        </w:rPr>
        <w:t>prescripción en un proceso de responsabilidad fiscal”</w:t>
      </w:r>
    </w:p>
    <w:p w:rsidR="00C517C8" w:rsidRPr="002E2C06" w:rsidRDefault="000708FA" w:rsidP="00C517C8">
      <w:pPr>
        <w:ind w:left="720"/>
        <w:jc w:val="both"/>
        <w:rPr>
          <w:rFonts w:cs="Arial"/>
          <w:b/>
          <w:color w:val="FF0000"/>
          <w:sz w:val="20"/>
        </w:rPr>
      </w:pPr>
    </w:p>
    <w:p w:rsidR="00C517C8" w:rsidRPr="002E2C06" w:rsidRDefault="000708FA" w:rsidP="00C517C8">
      <w:pPr>
        <w:jc w:val="both"/>
        <w:rPr>
          <w:rFonts w:cs="Arial"/>
          <w:szCs w:val="24"/>
        </w:rPr>
      </w:pPr>
      <w:r w:rsidRPr="002E2C06">
        <w:rPr>
          <w:rFonts w:cs="Arial"/>
          <w:b/>
          <w:szCs w:val="24"/>
        </w:rPr>
        <w:t>Acción:</w:t>
      </w:r>
      <w:r w:rsidRPr="002E2C06">
        <w:rPr>
          <w:rFonts w:cs="Arial"/>
          <w:i/>
          <w:sz w:val="22"/>
          <w:szCs w:val="22"/>
        </w:rPr>
        <w:t xml:space="preserve"> </w:t>
      </w:r>
      <w:r w:rsidRPr="002E2C06">
        <w:rPr>
          <w:rFonts w:cs="Arial"/>
          <w:b/>
          <w:szCs w:val="24"/>
        </w:rPr>
        <w:t>“</w:t>
      </w:r>
      <w:r w:rsidRPr="002E2C06">
        <w:rPr>
          <w:rFonts w:cs="Arial"/>
          <w:i/>
          <w:szCs w:val="24"/>
        </w:rPr>
        <w:t>Realizar mesas mensuales de trabajo a fin de sensibilizar a los abogados sobre el estricto cumplimiento de los términos procesales, al tiempo que se determine el nivel avance de las  actividad</w:t>
      </w:r>
      <w:r w:rsidRPr="002E2C06">
        <w:rPr>
          <w:rFonts w:cs="Arial"/>
          <w:i/>
          <w:szCs w:val="24"/>
        </w:rPr>
        <w:t>es y el impulso dado a las mismas".</w:t>
      </w:r>
    </w:p>
    <w:p w:rsidR="00C517C8" w:rsidRPr="002E2C06" w:rsidRDefault="000708FA" w:rsidP="00C517C8">
      <w:pPr>
        <w:tabs>
          <w:tab w:val="left" w:pos="6542"/>
        </w:tabs>
        <w:jc w:val="both"/>
        <w:rPr>
          <w:rFonts w:cs="Arial"/>
          <w:color w:val="FF0000"/>
          <w:sz w:val="22"/>
          <w:szCs w:val="22"/>
        </w:rPr>
      </w:pPr>
      <w:r w:rsidRPr="002E2C06">
        <w:rPr>
          <w:rFonts w:cs="Arial"/>
          <w:color w:val="FF0000"/>
          <w:szCs w:val="24"/>
        </w:rPr>
        <w:tab/>
      </w:r>
    </w:p>
    <w:p w:rsidR="00C517C8" w:rsidRPr="002E2C06" w:rsidRDefault="000708FA" w:rsidP="00C517C8">
      <w:pPr>
        <w:jc w:val="both"/>
        <w:rPr>
          <w:rFonts w:cs="Arial"/>
          <w:szCs w:val="24"/>
        </w:rPr>
      </w:pPr>
      <w:r w:rsidRPr="002E2C06">
        <w:rPr>
          <w:rFonts w:cs="Arial"/>
          <w:b/>
          <w:szCs w:val="24"/>
        </w:rPr>
        <w:t>Verificación:</w:t>
      </w:r>
      <w:r w:rsidRPr="002E2C06">
        <w:rPr>
          <w:rFonts w:cs="Arial"/>
          <w:b/>
          <w:color w:val="FF0000"/>
          <w:szCs w:val="24"/>
        </w:rPr>
        <w:t xml:space="preserve"> </w:t>
      </w:r>
      <w:r w:rsidRPr="002E2C06">
        <w:rPr>
          <w:rFonts w:cs="Arial"/>
          <w:szCs w:val="24"/>
        </w:rPr>
        <w:t>Se evidencio mediante actas sin número  de fecha 13/10/2015, 23/10/2015, 05/11/2015, 25/11/2015 que la Subdirección del Proceso de Responsabilidad Fiscal, programo y  realizó jornadas de capacitación y sensibilización sobre temas inherentes a la prescripci</w:t>
      </w:r>
      <w:r w:rsidRPr="002E2C06">
        <w:rPr>
          <w:rFonts w:cs="Arial"/>
          <w:szCs w:val="24"/>
        </w:rPr>
        <w:t xml:space="preserve">ón de los procesos de responsabilidad fiscal, haciendo énfasis en la importancia de evitar su materialización con las consecuencias de tipo disciplinario que ello generaría y el daño a la buena gestión institucional. </w:t>
      </w:r>
    </w:p>
    <w:p w:rsidR="00C517C8" w:rsidRPr="002E2C06" w:rsidRDefault="000708FA" w:rsidP="00C517C8">
      <w:pPr>
        <w:jc w:val="both"/>
        <w:rPr>
          <w:rFonts w:cs="Arial"/>
          <w:szCs w:val="24"/>
        </w:rPr>
      </w:pPr>
    </w:p>
    <w:p w:rsidR="00C517C8" w:rsidRPr="002E2C06" w:rsidRDefault="000708FA" w:rsidP="00C517C8">
      <w:pPr>
        <w:jc w:val="both"/>
        <w:rPr>
          <w:rFonts w:cs="Arial"/>
          <w:color w:val="FF0000"/>
          <w:szCs w:val="24"/>
        </w:rPr>
      </w:pPr>
      <w:r w:rsidRPr="002E2C06">
        <w:rPr>
          <w:rFonts w:cs="Arial"/>
          <w:szCs w:val="24"/>
        </w:rPr>
        <w:t>Por considerar que las acciones imple</w:t>
      </w:r>
      <w:r w:rsidRPr="002E2C06">
        <w:rPr>
          <w:rFonts w:cs="Arial"/>
          <w:szCs w:val="24"/>
        </w:rPr>
        <w:t>mentadas subsanan la causa que genero el hallazgo, se sugiere el cierre del mismo.</w:t>
      </w:r>
    </w:p>
    <w:p w:rsidR="00C517C8" w:rsidRPr="002E2C06" w:rsidRDefault="000708FA" w:rsidP="00C517C8">
      <w:pPr>
        <w:jc w:val="both"/>
        <w:rPr>
          <w:rFonts w:cs="Arial"/>
          <w:color w:val="FF0000"/>
          <w:szCs w:val="24"/>
        </w:rPr>
      </w:pPr>
    </w:p>
    <w:p w:rsidR="00C517C8" w:rsidRPr="002E2C06" w:rsidRDefault="000708FA" w:rsidP="00C517C8">
      <w:pPr>
        <w:jc w:val="both"/>
        <w:rPr>
          <w:rFonts w:cs="Arial"/>
          <w:color w:val="FF0000"/>
          <w:szCs w:val="24"/>
        </w:rPr>
      </w:pPr>
    </w:p>
    <w:p w:rsidR="00C517C8" w:rsidRPr="002E2C06" w:rsidRDefault="000708FA" w:rsidP="00C517C8">
      <w:pPr>
        <w:jc w:val="both"/>
        <w:rPr>
          <w:rFonts w:cs="Arial"/>
          <w:color w:val="FF0000"/>
          <w:szCs w:val="24"/>
        </w:rPr>
      </w:pPr>
    </w:p>
    <w:p w:rsidR="00C517C8" w:rsidRPr="002E2C06" w:rsidRDefault="000708FA" w:rsidP="00C517C8">
      <w:pPr>
        <w:tabs>
          <w:tab w:val="left" w:pos="3400"/>
        </w:tabs>
        <w:jc w:val="both"/>
        <w:rPr>
          <w:rFonts w:cs="Arial"/>
          <w:b/>
          <w:szCs w:val="24"/>
        </w:rPr>
      </w:pPr>
      <w:r w:rsidRPr="002E2C06">
        <w:rPr>
          <w:rFonts w:cs="Arial"/>
          <w:b/>
          <w:szCs w:val="24"/>
        </w:rPr>
        <w:t>Origen 4 - Auditoria externa  al SIG:</w:t>
      </w:r>
      <w:r w:rsidRPr="002E2C06">
        <w:rPr>
          <w:rFonts w:cs="Arial"/>
          <w:b/>
          <w:szCs w:val="24"/>
        </w:rPr>
        <w:tab/>
      </w:r>
    </w:p>
    <w:p w:rsidR="00C517C8" w:rsidRPr="002E2C06" w:rsidRDefault="000708FA" w:rsidP="00C517C8">
      <w:pPr>
        <w:tabs>
          <w:tab w:val="left" w:pos="3400"/>
        </w:tabs>
        <w:jc w:val="both"/>
        <w:rPr>
          <w:rFonts w:cs="Arial"/>
          <w:b/>
          <w:szCs w:val="24"/>
        </w:rPr>
      </w:pPr>
    </w:p>
    <w:p w:rsidR="00C517C8" w:rsidRPr="002E2C06" w:rsidRDefault="000708FA" w:rsidP="00C517C8">
      <w:pPr>
        <w:numPr>
          <w:ilvl w:val="0"/>
          <w:numId w:val="2"/>
        </w:numPr>
        <w:jc w:val="both"/>
        <w:rPr>
          <w:rFonts w:cs="Arial"/>
          <w:i/>
          <w:sz w:val="22"/>
          <w:szCs w:val="22"/>
        </w:rPr>
      </w:pPr>
      <w:r w:rsidRPr="002E2C06">
        <w:rPr>
          <w:rFonts w:cs="Arial"/>
          <w:i/>
          <w:sz w:val="22"/>
          <w:szCs w:val="22"/>
        </w:rPr>
        <w:t>“Los siguientes indicadores y metas respectivas del proceso de RESPONSABILIDAD FISCAL Y JURISDICCIÓN COACTIVA, presentan las sigui</w:t>
      </w:r>
      <w:r w:rsidRPr="002E2C06">
        <w:rPr>
          <w:rFonts w:cs="Arial"/>
          <w:i/>
          <w:sz w:val="22"/>
          <w:szCs w:val="22"/>
        </w:rPr>
        <w:t>entes deficiencias: • No se evidencia datos que permitan demostrar el resultado de 80%, para el indicador propuesto: Número de solicitudes de prórroga para devolverlo, hallazgos o indagaciones preliminares, auto de apertura, e imputación / Número de insumo</w:t>
      </w:r>
      <w:r w:rsidRPr="002E2C06">
        <w:rPr>
          <w:rFonts w:cs="Arial"/>
          <w:i/>
          <w:sz w:val="22"/>
          <w:szCs w:val="22"/>
        </w:rPr>
        <w:t xml:space="preserve">s de insumos en trámites. </w:t>
      </w:r>
    </w:p>
    <w:p w:rsidR="00C517C8" w:rsidRPr="002E2C06" w:rsidRDefault="000708FA" w:rsidP="00C517C8">
      <w:pPr>
        <w:ind w:left="644"/>
        <w:jc w:val="both"/>
        <w:rPr>
          <w:rFonts w:cs="Arial"/>
          <w:i/>
          <w:sz w:val="22"/>
          <w:szCs w:val="22"/>
        </w:rPr>
      </w:pPr>
    </w:p>
    <w:p w:rsidR="00C517C8" w:rsidRPr="002E2C06" w:rsidRDefault="000708FA" w:rsidP="00C517C8">
      <w:pPr>
        <w:numPr>
          <w:ilvl w:val="0"/>
          <w:numId w:val="2"/>
        </w:numPr>
        <w:jc w:val="both"/>
        <w:rPr>
          <w:rFonts w:cs="Arial"/>
          <w:i/>
          <w:sz w:val="22"/>
          <w:szCs w:val="22"/>
        </w:rPr>
      </w:pPr>
      <w:r w:rsidRPr="002E2C06">
        <w:rPr>
          <w:rFonts w:cs="Arial"/>
          <w:i/>
          <w:sz w:val="22"/>
          <w:szCs w:val="22"/>
        </w:rPr>
        <w:t xml:space="preserve">El indicador número de jornadas periódicas de sensibilización, en temas de aplicación de principios y valores, y conocimientos de normas disciplinarias, y </w:t>
      </w:r>
      <w:r w:rsidRPr="002E2C06">
        <w:rPr>
          <w:rFonts w:cs="Arial"/>
          <w:i/>
          <w:sz w:val="22"/>
          <w:szCs w:val="22"/>
        </w:rPr>
        <w:lastRenderedPageBreak/>
        <w:t>penales realizadas más un memorando dirigido a la dirección de talento hu</w:t>
      </w:r>
      <w:r w:rsidRPr="002E2C06">
        <w:rPr>
          <w:rFonts w:cs="Arial"/>
          <w:i/>
          <w:sz w:val="22"/>
          <w:szCs w:val="22"/>
        </w:rPr>
        <w:t>mano. Presenta una meta del 100%. Dicha meta no es coherente con el indicador. Lo anterior incumple con el numeral 8.2.3 de la norma ISO 9001 ver 2008 y la GP 1000.”</w:t>
      </w:r>
    </w:p>
    <w:p w:rsidR="00C517C8" w:rsidRPr="002E2C06" w:rsidRDefault="000708FA" w:rsidP="00C517C8">
      <w:pPr>
        <w:tabs>
          <w:tab w:val="left" w:pos="5148"/>
        </w:tabs>
        <w:jc w:val="both"/>
        <w:rPr>
          <w:rFonts w:cs="Arial"/>
          <w:i/>
          <w:color w:val="FF0000"/>
          <w:szCs w:val="24"/>
        </w:rPr>
      </w:pPr>
    </w:p>
    <w:p w:rsidR="00C517C8" w:rsidRPr="002E2C06" w:rsidRDefault="000708FA" w:rsidP="00C517C8">
      <w:pPr>
        <w:jc w:val="both"/>
        <w:rPr>
          <w:rFonts w:cs="Arial"/>
          <w:i/>
          <w:szCs w:val="24"/>
        </w:rPr>
      </w:pPr>
      <w:r w:rsidRPr="002E2C06">
        <w:rPr>
          <w:rFonts w:cs="Arial"/>
          <w:b/>
          <w:szCs w:val="24"/>
        </w:rPr>
        <w:t>Acción</w:t>
      </w:r>
      <w:r w:rsidRPr="002E2C06">
        <w:rPr>
          <w:rFonts w:cs="Arial"/>
          <w:i/>
          <w:szCs w:val="24"/>
        </w:rPr>
        <w:t xml:space="preserve">: Verificar que los reportes y el análisis realizado a las acciones del anexo 1 - </w:t>
      </w:r>
      <w:r w:rsidRPr="002E2C06">
        <w:rPr>
          <w:rFonts w:cs="Arial"/>
          <w:i/>
          <w:szCs w:val="24"/>
        </w:rPr>
        <w:t>Plan de Mejoramiento sean coherentes con la meta y el indicador planteado, asegurando la conservación de los registros que evidencian la información relacionada.</w:t>
      </w:r>
    </w:p>
    <w:p w:rsidR="00C517C8" w:rsidRPr="002E2C06" w:rsidRDefault="000708FA" w:rsidP="00C517C8">
      <w:pPr>
        <w:jc w:val="both"/>
        <w:rPr>
          <w:rFonts w:cs="Arial"/>
          <w:i/>
          <w:color w:val="FF0000"/>
          <w:szCs w:val="24"/>
        </w:rPr>
      </w:pPr>
    </w:p>
    <w:p w:rsidR="00C517C8" w:rsidRPr="002E2C06" w:rsidRDefault="000708FA" w:rsidP="00C517C8">
      <w:pPr>
        <w:jc w:val="both"/>
        <w:rPr>
          <w:rFonts w:cs="Arial"/>
          <w:szCs w:val="24"/>
        </w:rPr>
      </w:pPr>
      <w:r w:rsidRPr="002E2C06">
        <w:rPr>
          <w:rFonts w:cs="Arial"/>
          <w:b/>
          <w:szCs w:val="24"/>
        </w:rPr>
        <w:t xml:space="preserve">Verificación: </w:t>
      </w:r>
      <w:r w:rsidRPr="002E2C06">
        <w:rPr>
          <w:rFonts w:cs="Arial"/>
          <w:szCs w:val="24"/>
        </w:rPr>
        <w:t>Se constató que la Subdirección de Jurisdicción Coactiva, realiza seguimiento a</w:t>
      </w:r>
      <w:r w:rsidRPr="002E2C06">
        <w:rPr>
          <w:rFonts w:cs="Arial"/>
          <w:szCs w:val="24"/>
        </w:rPr>
        <w:t xml:space="preserve"> las acciones incluidas en el Plan de Acción 2015, tal como se evidencia en el  memorando No. 3-2015-21568 remitido por la Directora Técnica de Planeación a la Dirección de Responsabilidad Fiscal y Jurisdicción Coactiva. Se puede concluir que el proceso re</w:t>
      </w:r>
      <w:r w:rsidRPr="002E2C06">
        <w:rPr>
          <w:rFonts w:cs="Arial"/>
          <w:szCs w:val="24"/>
        </w:rPr>
        <w:t>mite soportes de cumplimiento de cada una de las acciones y la justificación en cada uno de los indicadores. Por otra parte se inició con un  control efectivo sobre la asignación de hallazgos fiscales asignados a los profesionales, otorgándoles términos pe</w:t>
      </w:r>
      <w:r w:rsidRPr="002E2C06">
        <w:rPr>
          <w:rFonts w:cs="Arial"/>
          <w:szCs w:val="24"/>
        </w:rPr>
        <w:t xml:space="preserve">rentorios para analizar y evaluar la información y tomar una decisión sobre la apertura del proceso o la devolución del hallazgo, de conformidad con los artículos 40 y 41 de la Ley 610 de 2000. Finalmente se evidencia Acta de la Dirección con fecha del 12 </w:t>
      </w:r>
      <w:r w:rsidRPr="002E2C06">
        <w:rPr>
          <w:rFonts w:cs="Arial"/>
          <w:szCs w:val="24"/>
        </w:rPr>
        <w:t xml:space="preserve">de noviembre, en la cual se aprueban y se justifica las metas de cumplimiento con sus porcentajes de conformidad a los análisis realizados. </w:t>
      </w:r>
    </w:p>
    <w:p w:rsidR="00C517C8" w:rsidRPr="002E2C06" w:rsidRDefault="000708FA" w:rsidP="00C517C8">
      <w:pPr>
        <w:jc w:val="both"/>
        <w:rPr>
          <w:rFonts w:cs="Arial"/>
          <w:szCs w:val="24"/>
        </w:rPr>
      </w:pPr>
    </w:p>
    <w:p w:rsidR="00C517C8" w:rsidRPr="002E2C06" w:rsidRDefault="000708FA" w:rsidP="00C517C8">
      <w:pPr>
        <w:jc w:val="both"/>
        <w:rPr>
          <w:rFonts w:cs="Arial"/>
          <w:szCs w:val="24"/>
        </w:rPr>
      </w:pPr>
      <w:r w:rsidRPr="002E2C06">
        <w:rPr>
          <w:rFonts w:cs="Arial"/>
          <w:szCs w:val="24"/>
        </w:rPr>
        <w:t>Por considerar que las acciones implementadas subsanan la causa que genero el hallazgo se sugiere el cierre del mi</w:t>
      </w:r>
      <w:r w:rsidRPr="002E2C06">
        <w:rPr>
          <w:rFonts w:cs="Arial"/>
          <w:szCs w:val="24"/>
        </w:rPr>
        <w:t>smo.</w:t>
      </w:r>
    </w:p>
    <w:p w:rsidR="00C517C8" w:rsidRPr="002E2C06" w:rsidRDefault="000708FA" w:rsidP="00C517C8">
      <w:pPr>
        <w:jc w:val="both"/>
        <w:rPr>
          <w:rFonts w:cs="Arial"/>
          <w:szCs w:val="24"/>
        </w:rPr>
      </w:pPr>
    </w:p>
    <w:p w:rsidR="00C517C8" w:rsidRPr="002E2C06" w:rsidRDefault="000708FA" w:rsidP="00C517C8">
      <w:pPr>
        <w:widowControl w:val="0"/>
        <w:autoSpaceDE w:val="0"/>
        <w:autoSpaceDN w:val="0"/>
        <w:adjustRightInd w:val="0"/>
        <w:jc w:val="both"/>
        <w:rPr>
          <w:rFonts w:cs="Arial"/>
          <w:b/>
          <w:szCs w:val="24"/>
        </w:rPr>
      </w:pPr>
      <w:r w:rsidRPr="002E2C06">
        <w:rPr>
          <w:rFonts w:cs="Arial"/>
          <w:b/>
          <w:szCs w:val="24"/>
        </w:rPr>
        <w:t xml:space="preserve">Hallazgos Abiertos   </w:t>
      </w:r>
    </w:p>
    <w:p w:rsidR="00C517C8" w:rsidRPr="002E2C06" w:rsidRDefault="000708FA" w:rsidP="00C517C8">
      <w:pPr>
        <w:widowControl w:val="0"/>
        <w:autoSpaceDE w:val="0"/>
        <w:autoSpaceDN w:val="0"/>
        <w:adjustRightInd w:val="0"/>
        <w:jc w:val="both"/>
        <w:rPr>
          <w:rFonts w:cs="Arial"/>
          <w:b/>
          <w:szCs w:val="24"/>
        </w:rPr>
      </w:pPr>
    </w:p>
    <w:p w:rsidR="00C517C8" w:rsidRPr="002E2C06" w:rsidRDefault="000708FA" w:rsidP="00C517C8">
      <w:pPr>
        <w:widowControl w:val="0"/>
        <w:autoSpaceDE w:val="0"/>
        <w:autoSpaceDN w:val="0"/>
        <w:adjustRightInd w:val="0"/>
        <w:jc w:val="both"/>
        <w:rPr>
          <w:rFonts w:cs="Arial"/>
          <w:b/>
          <w:bCs/>
          <w:szCs w:val="24"/>
        </w:rPr>
      </w:pPr>
      <w:r w:rsidRPr="002E2C06">
        <w:rPr>
          <w:rFonts w:cs="Arial"/>
          <w:b/>
          <w:bCs/>
          <w:szCs w:val="24"/>
        </w:rPr>
        <w:t>Origen 6 – Auditoria Fiscal.</w:t>
      </w:r>
    </w:p>
    <w:p w:rsidR="00C517C8" w:rsidRPr="002E2C06" w:rsidRDefault="000708FA" w:rsidP="00C517C8">
      <w:pPr>
        <w:widowControl w:val="0"/>
        <w:autoSpaceDE w:val="0"/>
        <w:autoSpaceDN w:val="0"/>
        <w:adjustRightInd w:val="0"/>
        <w:jc w:val="both"/>
        <w:rPr>
          <w:rFonts w:cs="Arial"/>
          <w:b/>
          <w:bCs/>
          <w:szCs w:val="24"/>
        </w:rPr>
      </w:pPr>
    </w:p>
    <w:p w:rsidR="00C517C8" w:rsidRPr="002E2C06" w:rsidRDefault="000708FA" w:rsidP="00C517C8">
      <w:pPr>
        <w:widowControl w:val="0"/>
        <w:numPr>
          <w:ilvl w:val="0"/>
          <w:numId w:val="4"/>
        </w:numPr>
        <w:autoSpaceDE w:val="0"/>
        <w:autoSpaceDN w:val="0"/>
        <w:adjustRightInd w:val="0"/>
        <w:jc w:val="both"/>
        <w:rPr>
          <w:rFonts w:cs="Arial"/>
          <w:bCs/>
          <w:i/>
          <w:sz w:val="22"/>
          <w:szCs w:val="22"/>
        </w:rPr>
      </w:pPr>
      <w:r w:rsidRPr="002E2C06">
        <w:rPr>
          <w:rFonts w:cs="Arial"/>
          <w:bCs/>
          <w:i/>
          <w:sz w:val="22"/>
          <w:szCs w:val="22"/>
        </w:rPr>
        <w:t xml:space="preserve">2.2.2.1.-.Hallazgo administrativo por bajo porcentaje de hallazgos fiscales abiertos en la vigencia de 2014.   </w:t>
      </w:r>
    </w:p>
    <w:p w:rsidR="00C517C8" w:rsidRPr="002E2C06" w:rsidRDefault="000708FA" w:rsidP="00C517C8">
      <w:pPr>
        <w:widowControl w:val="0"/>
        <w:autoSpaceDE w:val="0"/>
        <w:autoSpaceDN w:val="0"/>
        <w:adjustRightInd w:val="0"/>
        <w:jc w:val="both"/>
        <w:rPr>
          <w:rFonts w:cs="Arial"/>
          <w:b/>
          <w:bCs/>
          <w:szCs w:val="24"/>
        </w:rPr>
      </w:pPr>
    </w:p>
    <w:p w:rsidR="00C517C8" w:rsidRPr="002E2C06" w:rsidRDefault="000708FA" w:rsidP="00C517C8">
      <w:pPr>
        <w:jc w:val="both"/>
        <w:rPr>
          <w:rFonts w:cs="Arial"/>
          <w:szCs w:val="24"/>
        </w:rPr>
      </w:pPr>
      <w:r w:rsidRPr="002E2C06">
        <w:rPr>
          <w:rFonts w:cs="Arial"/>
          <w:b/>
          <w:szCs w:val="24"/>
        </w:rPr>
        <w:t>Acción</w:t>
      </w:r>
      <w:r w:rsidRPr="002E2C06">
        <w:rPr>
          <w:rFonts w:cs="Arial"/>
          <w:i/>
          <w:szCs w:val="24"/>
        </w:rPr>
        <w:t xml:space="preserve">: </w:t>
      </w:r>
      <w:r w:rsidRPr="002E2C06">
        <w:rPr>
          <w:rFonts w:cs="Arial"/>
          <w:szCs w:val="24"/>
        </w:rPr>
        <w:t xml:space="preserve">Dar apertura al 40% de los procesos que resulten de la evaluación de los </w:t>
      </w:r>
      <w:r w:rsidRPr="002E2C06">
        <w:rPr>
          <w:rFonts w:cs="Arial"/>
          <w:szCs w:val="24"/>
        </w:rPr>
        <w:t>hallazgos remitidos por las Direcciones Sectoriales y el DRI, mientras las posibilidades legales lo permitan</w:t>
      </w:r>
    </w:p>
    <w:p w:rsidR="00C517C8" w:rsidRPr="002E2C06" w:rsidRDefault="000708FA" w:rsidP="00C517C8">
      <w:pPr>
        <w:jc w:val="both"/>
        <w:rPr>
          <w:rFonts w:cs="Arial"/>
          <w:i/>
          <w:color w:val="FF0000"/>
          <w:szCs w:val="24"/>
        </w:rPr>
      </w:pPr>
    </w:p>
    <w:p w:rsidR="00C517C8" w:rsidRPr="002E2C06" w:rsidRDefault="000708FA" w:rsidP="00C517C8">
      <w:pPr>
        <w:widowControl w:val="0"/>
        <w:autoSpaceDE w:val="0"/>
        <w:autoSpaceDN w:val="0"/>
        <w:adjustRightInd w:val="0"/>
        <w:jc w:val="both"/>
        <w:rPr>
          <w:rFonts w:cs="Arial"/>
          <w:szCs w:val="24"/>
        </w:rPr>
      </w:pPr>
      <w:r w:rsidRPr="002E2C06">
        <w:rPr>
          <w:rFonts w:cs="Arial"/>
          <w:b/>
          <w:szCs w:val="24"/>
        </w:rPr>
        <w:t xml:space="preserve">Verificación: </w:t>
      </w:r>
      <w:r w:rsidRPr="002E2C06">
        <w:rPr>
          <w:rFonts w:cs="Arial"/>
          <w:szCs w:val="24"/>
        </w:rPr>
        <w:t>Se constató que en el periodo comprendido entre el 21 de septiembre de 14 de Diciembre de 2015 se han aperturado treinta y seis (36)</w:t>
      </w:r>
      <w:r w:rsidRPr="002E2C06">
        <w:rPr>
          <w:rFonts w:cs="Arial"/>
          <w:szCs w:val="24"/>
        </w:rPr>
        <w:t xml:space="preserve"> nuevos procesos de responsabilidad fiscal resultado del análisis y valoración de hallazgos de la vigencia 2014.  Continua abierto para seguimiento  </w:t>
      </w:r>
    </w:p>
    <w:p w:rsidR="00C517C8" w:rsidRPr="002E2C06" w:rsidRDefault="000708FA" w:rsidP="00C517C8">
      <w:pPr>
        <w:widowControl w:val="0"/>
        <w:autoSpaceDE w:val="0"/>
        <w:autoSpaceDN w:val="0"/>
        <w:adjustRightInd w:val="0"/>
        <w:jc w:val="both"/>
        <w:rPr>
          <w:rFonts w:cs="Arial"/>
          <w:szCs w:val="24"/>
        </w:rPr>
      </w:pPr>
    </w:p>
    <w:p w:rsidR="00C517C8" w:rsidRPr="002E2C06" w:rsidRDefault="000708FA" w:rsidP="00C517C8">
      <w:pPr>
        <w:widowControl w:val="0"/>
        <w:numPr>
          <w:ilvl w:val="0"/>
          <w:numId w:val="4"/>
        </w:numPr>
        <w:autoSpaceDE w:val="0"/>
        <w:autoSpaceDN w:val="0"/>
        <w:adjustRightInd w:val="0"/>
        <w:jc w:val="both"/>
        <w:rPr>
          <w:rFonts w:cs="Arial"/>
          <w:bCs/>
          <w:i/>
          <w:sz w:val="22"/>
          <w:szCs w:val="22"/>
        </w:rPr>
      </w:pPr>
      <w:r w:rsidRPr="002E2C06">
        <w:rPr>
          <w:rFonts w:cs="Arial"/>
          <w:bCs/>
          <w:i/>
          <w:sz w:val="22"/>
          <w:szCs w:val="22"/>
        </w:rPr>
        <w:t>2.2.2.2.-.Hallazgo administrativo por "alta rotación del Talento Humano (Directivo y profesional) que gen</w:t>
      </w:r>
      <w:r w:rsidRPr="002E2C06">
        <w:rPr>
          <w:rFonts w:cs="Arial"/>
          <w:bCs/>
          <w:i/>
          <w:sz w:val="22"/>
          <w:szCs w:val="22"/>
        </w:rPr>
        <w:t>era la reasignación de procesos"</w:t>
      </w:r>
    </w:p>
    <w:p w:rsidR="00C517C8" w:rsidRPr="002E2C06" w:rsidRDefault="000708FA" w:rsidP="00C517C8">
      <w:pPr>
        <w:jc w:val="both"/>
        <w:rPr>
          <w:rFonts w:cs="Arial"/>
          <w:b/>
          <w:color w:val="FF0000"/>
          <w:szCs w:val="24"/>
        </w:rPr>
      </w:pPr>
    </w:p>
    <w:p w:rsidR="00C517C8" w:rsidRPr="002E2C06" w:rsidRDefault="000708FA" w:rsidP="00C517C8">
      <w:pPr>
        <w:jc w:val="both"/>
        <w:rPr>
          <w:rFonts w:cs="Arial"/>
          <w:szCs w:val="24"/>
        </w:rPr>
      </w:pPr>
      <w:r w:rsidRPr="002E2C06">
        <w:rPr>
          <w:rFonts w:cs="Arial"/>
          <w:b/>
          <w:szCs w:val="24"/>
        </w:rPr>
        <w:t>Acción 1</w:t>
      </w:r>
      <w:r w:rsidRPr="002E2C06">
        <w:rPr>
          <w:rFonts w:cs="Arial"/>
          <w:i/>
          <w:szCs w:val="24"/>
        </w:rPr>
        <w:t xml:space="preserve">: </w:t>
      </w:r>
      <w:r w:rsidRPr="002E2C06">
        <w:rPr>
          <w:rFonts w:cs="Arial"/>
          <w:szCs w:val="24"/>
        </w:rPr>
        <w:t>Solicitar mediante un memorando a la Dirección de Talento Humano abogados con el objeto de aumentar el número de sustanciadores.</w:t>
      </w:r>
    </w:p>
    <w:p w:rsidR="00C517C8" w:rsidRPr="002E2C06" w:rsidRDefault="000708FA" w:rsidP="00C517C8">
      <w:pPr>
        <w:jc w:val="both"/>
        <w:rPr>
          <w:rFonts w:cs="Arial"/>
          <w:i/>
          <w:color w:val="FF0000"/>
          <w:szCs w:val="24"/>
        </w:rPr>
      </w:pPr>
    </w:p>
    <w:p w:rsidR="00C517C8" w:rsidRPr="002E2C06" w:rsidRDefault="000708FA" w:rsidP="00C517C8">
      <w:pPr>
        <w:jc w:val="both"/>
        <w:rPr>
          <w:rFonts w:cs="Arial"/>
          <w:szCs w:val="24"/>
        </w:rPr>
      </w:pPr>
      <w:r w:rsidRPr="002E2C06">
        <w:rPr>
          <w:rFonts w:cs="Arial"/>
          <w:b/>
          <w:szCs w:val="24"/>
        </w:rPr>
        <w:t xml:space="preserve">Verificación: </w:t>
      </w:r>
      <w:r w:rsidRPr="002E2C06">
        <w:rPr>
          <w:rFonts w:cs="Arial"/>
          <w:szCs w:val="24"/>
        </w:rPr>
        <w:t>No se evidencio solicitud a la Dirección de Talento Humano de abogad</w:t>
      </w:r>
      <w:r w:rsidRPr="002E2C06">
        <w:rPr>
          <w:rFonts w:cs="Arial"/>
          <w:szCs w:val="24"/>
        </w:rPr>
        <w:t xml:space="preserve">os con el objeto de aumentar el número de sustanciadores en la Dirección por considerar que no se requerían, teniendo en cuenta que fueron asignados 7 profesionales y 7 contratistas. Continua abierto para seguimiento  </w:t>
      </w:r>
    </w:p>
    <w:p w:rsidR="00C517C8" w:rsidRPr="002E2C06" w:rsidRDefault="000708FA" w:rsidP="00C517C8">
      <w:pPr>
        <w:jc w:val="both"/>
        <w:rPr>
          <w:rFonts w:cs="Arial"/>
          <w:szCs w:val="24"/>
        </w:rPr>
      </w:pPr>
    </w:p>
    <w:p w:rsidR="00C517C8" w:rsidRPr="002E2C06" w:rsidRDefault="000708FA" w:rsidP="00C517C8">
      <w:pPr>
        <w:jc w:val="both"/>
        <w:rPr>
          <w:rFonts w:cs="Arial"/>
          <w:szCs w:val="24"/>
        </w:rPr>
      </w:pPr>
      <w:r w:rsidRPr="002E2C06">
        <w:rPr>
          <w:rFonts w:cs="Arial"/>
          <w:b/>
          <w:szCs w:val="24"/>
        </w:rPr>
        <w:t>Acción 2</w:t>
      </w:r>
      <w:r w:rsidRPr="002E2C06">
        <w:rPr>
          <w:rFonts w:cs="Arial"/>
          <w:i/>
          <w:szCs w:val="24"/>
        </w:rPr>
        <w:t xml:space="preserve">: </w:t>
      </w:r>
      <w:r w:rsidRPr="002E2C06">
        <w:rPr>
          <w:rFonts w:cs="Arial"/>
          <w:szCs w:val="24"/>
        </w:rPr>
        <w:t xml:space="preserve">Realizar reasignación de </w:t>
      </w:r>
      <w:r w:rsidRPr="002E2C06">
        <w:rPr>
          <w:rFonts w:cs="Arial"/>
          <w:szCs w:val="24"/>
        </w:rPr>
        <w:t>procesos en virtud de las situaciones laborales administrativas</w:t>
      </w:r>
    </w:p>
    <w:p w:rsidR="00C517C8" w:rsidRPr="002E2C06" w:rsidRDefault="000708FA" w:rsidP="00C517C8">
      <w:pPr>
        <w:jc w:val="both"/>
        <w:rPr>
          <w:rFonts w:cs="Arial"/>
          <w:i/>
          <w:color w:val="FF0000"/>
          <w:szCs w:val="24"/>
        </w:rPr>
      </w:pPr>
    </w:p>
    <w:p w:rsidR="00C517C8" w:rsidRPr="002E2C06" w:rsidRDefault="000708FA" w:rsidP="00C517C8">
      <w:pPr>
        <w:jc w:val="both"/>
        <w:rPr>
          <w:rFonts w:cs="Arial"/>
          <w:szCs w:val="24"/>
        </w:rPr>
      </w:pPr>
      <w:r w:rsidRPr="002E2C06">
        <w:rPr>
          <w:rFonts w:cs="Arial"/>
          <w:b/>
          <w:szCs w:val="24"/>
        </w:rPr>
        <w:t xml:space="preserve">Verificación: </w:t>
      </w:r>
      <w:r w:rsidRPr="002E2C06">
        <w:rPr>
          <w:rFonts w:cs="Arial"/>
          <w:szCs w:val="24"/>
        </w:rPr>
        <w:t>Se pudo evidenciar que con la asignación de los 7 profesionales y 7 contratistas se realizó la reasignación de procesos. Continua abierto para seguimiento.</w:t>
      </w:r>
    </w:p>
    <w:p w:rsidR="00C517C8" w:rsidRPr="002E2C06" w:rsidRDefault="000708FA" w:rsidP="00C517C8">
      <w:pPr>
        <w:jc w:val="both"/>
        <w:rPr>
          <w:rFonts w:cs="Arial"/>
          <w:szCs w:val="24"/>
        </w:rPr>
      </w:pPr>
    </w:p>
    <w:p w:rsidR="00C517C8" w:rsidRPr="002E2C06" w:rsidRDefault="000708FA" w:rsidP="00C517C8">
      <w:pPr>
        <w:numPr>
          <w:ilvl w:val="0"/>
          <w:numId w:val="4"/>
        </w:numPr>
        <w:jc w:val="both"/>
        <w:rPr>
          <w:rFonts w:cs="Arial"/>
          <w:i/>
          <w:sz w:val="22"/>
          <w:szCs w:val="22"/>
        </w:rPr>
      </w:pPr>
      <w:r w:rsidRPr="002E2C06">
        <w:rPr>
          <w:rFonts w:cs="Arial"/>
          <w:i/>
          <w:sz w:val="22"/>
          <w:szCs w:val="22"/>
        </w:rPr>
        <w:t>2.2.2.3 Hallazgo adm</w:t>
      </w:r>
      <w:r w:rsidRPr="002E2C06">
        <w:rPr>
          <w:rFonts w:cs="Arial"/>
          <w:i/>
          <w:sz w:val="22"/>
          <w:szCs w:val="22"/>
        </w:rPr>
        <w:t>inistrativo “por prescripción en los procesos”</w:t>
      </w:r>
    </w:p>
    <w:p w:rsidR="00C517C8" w:rsidRPr="002E2C06" w:rsidRDefault="000708FA" w:rsidP="00C517C8">
      <w:pPr>
        <w:jc w:val="both"/>
        <w:rPr>
          <w:rFonts w:cs="Arial"/>
          <w:szCs w:val="24"/>
        </w:rPr>
      </w:pPr>
    </w:p>
    <w:p w:rsidR="00C517C8" w:rsidRPr="002E2C06" w:rsidRDefault="000708FA" w:rsidP="00C517C8">
      <w:pPr>
        <w:jc w:val="both"/>
        <w:rPr>
          <w:rFonts w:cs="Arial"/>
          <w:szCs w:val="24"/>
        </w:rPr>
      </w:pPr>
      <w:r w:rsidRPr="002E2C06">
        <w:rPr>
          <w:rFonts w:cs="Arial"/>
          <w:b/>
          <w:szCs w:val="24"/>
        </w:rPr>
        <w:t>Acción</w:t>
      </w:r>
      <w:r w:rsidRPr="002E2C06">
        <w:rPr>
          <w:rFonts w:cs="Arial"/>
          <w:i/>
          <w:szCs w:val="24"/>
        </w:rPr>
        <w:t xml:space="preserve">: </w:t>
      </w:r>
      <w:r w:rsidRPr="002E2C06">
        <w:rPr>
          <w:rFonts w:cs="Arial"/>
          <w:szCs w:val="24"/>
        </w:rPr>
        <w:t>Realizar mesas bimestral de trabajo, a fin de sensibilizar a los abogados sobre el estricto cumplimiento de los términos procesales al tiempo que se determine el nivel de avance de las actividades e i</w:t>
      </w:r>
      <w:r w:rsidRPr="002E2C06">
        <w:rPr>
          <w:rFonts w:cs="Arial"/>
          <w:szCs w:val="24"/>
        </w:rPr>
        <w:t>mpulso dado a las mismas.</w:t>
      </w:r>
    </w:p>
    <w:p w:rsidR="00C517C8" w:rsidRPr="002E2C06" w:rsidRDefault="000708FA" w:rsidP="00C517C8">
      <w:pPr>
        <w:jc w:val="both"/>
        <w:rPr>
          <w:rFonts w:cs="Arial"/>
          <w:i/>
          <w:color w:val="FF0000"/>
          <w:szCs w:val="24"/>
        </w:rPr>
      </w:pPr>
    </w:p>
    <w:p w:rsidR="00C517C8" w:rsidRPr="002E2C06" w:rsidRDefault="000708FA" w:rsidP="00C517C8">
      <w:pPr>
        <w:jc w:val="both"/>
        <w:rPr>
          <w:rFonts w:cs="Arial"/>
          <w:szCs w:val="24"/>
        </w:rPr>
      </w:pPr>
      <w:r w:rsidRPr="002E2C06">
        <w:rPr>
          <w:rFonts w:cs="Arial"/>
          <w:b/>
          <w:szCs w:val="24"/>
        </w:rPr>
        <w:t xml:space="preserve">Verificación: </w:t>
      </w:r>
      <w:r w:rsidRPr="002E2C06">
        <w:rPr>
          <w:rFonts w:cs="Arial"/>
          <w:szCs w:val="24"/>
        </w:rPr>
        <w:t xml:space="preserve">Se evidencio mediante actas sin número  de fecha 13/10/2015, 23/10/2015, 05/11/2015, 25/11/2015 que la Subdirección del Proceso de Responsabilidad Fiscal, programo y  realizo jornadas de capacitación y </w:t>
      </w:r>
      <w:r w:rsidRPr="002E2C06">
        <w:rPr>
          <w:rFonts w:cs="Arial"/>
          <w:szCs w:val="24"/>
        </w:rPr>
        <w:t xml:space="preserve">sensibilización sobre temas inherentes a la prescripción de los procesos de responsabilidad fiscal, haciendo énfasis en la importancia de evitar su materialización con las consecuencias de tipo disciplinario que ello generaría y el daño a la buena gestión </w:t>
      </w:r>
      <w:r w:rsidRPr="002E2C06">
        <w:rPr>
          <w:rFonts w:cs="Arial"/>
          <w:szCs w:val="24"/>
        </w:rPr>
        <w:t>institucional. Continua abierto para seguimiento  teniendo en cuenta que se debe continuar con las mesas de trabajo bimensualmente.</w:t>
      </w:r>
    </w:p>
    <w:p w:rsidR="00C517C8" w:rsidRPr="002E2C06" w:rsidRDefault="000708FA" w:rsidP="00C517C8">
      <w:pPr>
        <w:jc w:val="both"/>
        <w:rPr>
          <w:rFonts w:cs="Arial"/>
          <w:szCs w:val="24"/>
        </w:rPr>
      </w:pPr>
    </w:p>
    <w:p w:rsidR="00C517C8" w:rsidRPr="002E2C06" w:rsidRDefault="000708FA" w:rsidP="00C517C8">
      <w:pPr>
        <w:numPr>
          <w:ilvl w:val="0"/>
          <w:numId w:val="4"/>
        </w:numPr>
        <w:jc w:val="both"/>
        <w:rPr>
          <w:rFonts w:cs="Arial"/>
          <w:i/>
          <w:sz w:val="22"/>
          <w:szCs w:val="22"/>
        </w:rPr>
      </w:pPr>
      <w:r w:rsidRPr="002E2C06">
        <w:rPr>
          <w:rFonts w:cs="Arial"/>
          <w:i/>
          <w:sz w:val="22"/>
          <w:szCs w:val="22"/>
        </w:rPr>
        <w:t xml:space="preserve">2.2.2.4 hallazgo administrativo por errores en el registro de información del Plan de Acción reportado en la intranet.  </w:t>
      </w:r>
    </w:p>
    <w:p w:rsidR="00C517C8" w:rsidRPr="002E2C06" w:rsidRDefault="000708FA" w:rsidP="00C517C8">
      <w:pPr>
        <w:jc w:val="both"/>
        <w:rPr>
          <w:rFonts w:cs="Arial"/>
          <w:szCs w:val="24"/>
        </w:rPr>
      </w:pPr>
    </w:p>
    <w:p w:rsidR="00C517C8" w:rsidRPr="002E2C06" w:rsidRDefault="000708FA" w:rsidP="00C517C8">
      <w:pPr>
        <w:jc w:val="both"/>
        <w:rPr>
          <w:rFonts w:cs="Arial"/>
          <w:szCs w:val="24"/>
        </w:rPr>
      </w:pPr>
      <w:r w:rsidRPr="002E2C06">
        <w:rPr>
          <w:rFonts w:cs="Arial"/>
          <w:b/>
          <w:szCs w:val="24"/>
        </w:rPr>
        <w:t>A</w:t>
      </w:r>
      <w:r w:rsidRPr="002E2C06">
        <w:rPr>
          <w:rFonts w:cs="Arial"/>
          <w:b/>
          <w:szCs w:val="24"/>
        </w:rPr>
        <w:t>cción</w:t>
      </w:r>
      <w:r w:rsidRPr="002E2C06">
        <w:rPr>
          <w:rFonts w:cs="Arial"/>
          <w:i/>
          <w:szCs w:val="24"/>
        </w:rPr>
        <w:t xml:space="preserve">: </w:t>
      </w:r>
      <w:r w:rsidRPr="002E2C06">
        <w:rPr>
          <w:rFonts w:cs="Arial"/>
          <w:szCs w:val="24"/>
        </w:rPr>
        <w:t>Realizar el respectivo seguimiento y verificación trimestral del formato del Plan de Acción en cada una de las mesas de trabajo del equipo gestor con el fin que se cumpla con los lineamientos específicos de la Dirección de Planeación.</w:t>
      </w:r>
    </w:p>
    <w:p w:rsidR="00C517C8" w:rsidRPr="002E2C06" w:rsidRDefault="000708FA" w:rsidP="00C517C8">
      <w:pPr>
        <w:jc w:val="both"/>
        <w:rPr>
          <w:rFonts w:cs="Arial"/>
          <w:color w:val="FF0000"/>
          <w:szCs w:val="24"/>
        </w:rPr>
      </w:pPr>
    </w:p>
    <w:p w:rsidR="00C517C8" w:rsidRPr="002E2C06" w:rsidRDefault="000708FA" w:rsidP="00C517C8">
      <w:pPr>
        <w:jc w:val="both"/>
        <w:rPr>
          <w:rFonts w:cs="Arial"/>
          <w:szCs w:val="24"/>
        </w:rPr>
      </w:pPr>
      <w:r w:rsidRPr="002E2C06">
        <w:rPr>
          <w:rFonts w:cs="Arial"/>
          <w:b/>
          <w:szCs w:val="24"/>
        </w:rPr>
        <w:t>Verificación:</w:t>
      </w:r>
      <w:r w:rsidRPr="002E2C06">
        <w:rPr>
          <w:rFonts w:cs="Arial"/>
          <w:b/>
          <w:szCs w:val="24"/>
        </w:rPr>
        <w:t xml:space="preserve"> </w:t>
      </w:r>
      <w:r w:rsidRPr="002E2C06">
        <w:rPr>
          <w:rFonts w:cs="Arial"/>
          <w:szCs w:val="24"/>
        </w:rPr>
        <w:t>Se evidencio que mediante memorando No. 3-2015-21568 del 15/10/2015, la Dirección de Planeación observa aspectos sobre el seguimiento y reporte del Plan de Acción, lo que significa que se realizar el respectivo seguimiento y verificación trimestral del fo</w:t>
      </w:r>
      <w:r w:rsidRPr="002E2C06">
        <w:rPr>
          <w:rFonts w:cs="Arial"/>
          <w:szCs w:val="24"/>
        </w:rPr>
        <w:t xml:space="preserve">rmato del Plan por parte del proceso. Continua abierto para seguimiento  </w:t>
      </w:r>
    </w:p>
    <w:p w:rsidR="00C517C8" w:rsidRPr="002E2C06" w:rsidRDefault="000708FA" w:rsidP="00C517C8">
      <w:pPr>
        <w:jc w:val="both"/>
        <w:rPr>
          <w:rFonts w:cs="Arial"/>
          <w:szCs w:val="24"/>
        </w:rPr>
      </w:pPr>
    </w:p>
    <w:p w:rsidR="00C517C8" w:rsidRPr="002E2C06" w:rsidRDefault="000708FA" w:rsidP="00C517C8">
      <w:pPr>
        <w:jc w:val="both"/>
        <w:rPr>
          <w:rFonts w:cs="Arial"/>
          <w:b/>
          <w:szCs w:val="24"/>
        </w:rPr>
      </w:pPr>
      <w:r w:rsidRPr="002E2C06">
        <w:rPr>
          <w:rFonts w:cs="Arial"/>
          <w:b/>
          <w:szCs w:val="24"/>
        </w:rPr>
        <w:t xml:space="preserve">ACCIONES PREVENTIVAS </w:t>
      </w:r>
    </w:p>
    <w:p w:rsidR="00C517C8" w:rsidRPr="002E2C06" w:rsidRDefault="000708FA" w:rsidP="00C517C8">
      <w:pPr>
        <w:jc w:val="both"/>
        <w:rPr>
          <w:rFonts w:cs="Arial"/>
          <w:b/>
          <w:color w:val="FF0000"/>
          <w:szCs w:val="24"/>
        </w:rPr>
      </w:pPr>
    </w:p>
    <w:p w:rsidR="00C517C8" w:rsidRPr="002E2C06" w:rsidRDefault="000708FA" w:rsidP="00C517C8">
      <w:pPr>
        <w:jc w:val="both"/>
        <w:rPr>
          <w:rFonts w:cs="Arial"/>
          <w:szCs w:val="24"/>
        </w:rPr>
      </w:pPr>
      <w:r w:rsidRPr="002E2C06">
        <w:rPr>
          <w:rFonts w:cs="Arial"/>
          <w:szCs w:val="24"/>
        </w:rPr>
        <w:t>Del total de riesgos y las no conformidades potenciales incluidos en el anexo 1 se encontró que los tres (3) contienen acciones de tipo preventivo;  uno (1) d</w:t>
      </w:r>
      <w:r w:rsidRPr="002E2C06">
        <w:rPr>
          <w:rFonts w:cs="Arial"/>
          <w:szCs w:val="24"/>
        </w:rPr>
        <w:t xml:space="preserve">e ellos su origen es 1.1 (8.1) correspondiendo a un riesgo antijurídico y dos (2) corresponden al Origen 1.2 (8.2) riesgo de corrupción. </w:t>
      </w:r>
    </w:p>
    <w:p w:rsidR="00C517C8" w:rsidRPr="002E2C06" w:rsidRDefault="000708FA" w:rsidP="00C517C8">
      <w:pPr>
        <w:jc w:val="both"/>
        <w:rPr>
          <w:rFonts w:cs="Arial"/>
          <w:szCs w:val="24"/>
        </w:rPr>
      </w:pPr>
    </w:p>
    <w:p w:rsidR="00C517C8" w:rsidRPr="002E2C06" w:rsidRDefault="000708FA" w:rsidP="00C517C8">
      <w:pPr>
        <w:widowControl w:val="0"/>
        <w:autoSpaceDE w:val="0"/>
        <w:autoSpaceDN w:val="0"/>
        <w:adjustRightInd w:val="0"/>
        <w:jc w:val="center"/>
        <w:rPr>
          <w:rFonts w:cs="Arial"/>
          <w:b/>
          <w:szCs w:val="24"/>
        </w:rPr>
      </w:pPr>
      <w:r w:rsidRPr="002E2C06">
        <w:rPr>
          <w:rFonts w:cs="Arial"/>
          <w:b/>
          <w:szCs w:val="24"/>
        </w:rPr>
        <w:t>Tabla 2</w:t>
      </w:r>
    </w:p>
    <w:p w:rsidR="00C517C8" w:rsidRPr="002E2C06" w:rsidRDefault="000708FA" w:rsidP="00C517C8">
      <w:pPr>
        <w:widowControl w:val="0"/>
        <w:autoSpaceDE w:val="0"/>
        <w:autoSpaceDN w:val="0"/>
        <w:adjustRightInd w:val="0"/>
        <w:jc w:val="center"/>
        <w:rPr>
          <w:rFonts w:cs="Arial"/>
          <w:b/>
          <w:szCs w:val="24"/>
        </w:rPr>
      </w:pPr>
      <w:r w:rsidRPr="002E2C06">
        <w:rPr>
          <w:rFonts w:cs="Arial"/>
          <w:b/>
          <w:szCs w:val="24"/>
        </w:rPr>
        <w:t xml:space="preserve">Anexo 1 - Plan de Evaluación y Seguimiento de los Riesgos </w:t>
      </w:r>
    </w:p>
    <w:p w:rsidR="00C517C8" w:rsidRPr="002E2C06" w:rsidRDefault="000708FA" w:rsidP="00C517C8">
      <w:pPr>
        <w:widowControl w:val="0"/>
        <w:autoSpaceDE w:val="0"/>
        <w:autoSpaceDN w:val="0"/>
        <w:adjustRightInd w:val="0"/>
        <w:jc w:val="center"/>
        <w:rPr>
          <w:rFonts w:cs="Arial"/>
          <w:b/>
          <w:szCs w:val="24"/>
        </w:rPr>
      </w:pPr>
    </w:p>
    <w:tbl>
      <w:tblPr>
        <w:tblW w:w="896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694"/>
        <w:gridCol w:w="1559"/>
        <w:gridCol w:w="1927"/>
        <w:gridCol w:w="1833"/>
        <w:gridCol w:w="950"/>
      </w:tblGrid>
      <w:tr w:rsidR="00025B63" w:rsidTr="00171258">
        <w:trPr>
          <w:trHeight w:val="627"/>
        </w:trPr>
        <w:tc>
          <w:tcPr>
            <w:tcW w:w="2694" w:type="dxa"/>
            <w:shd w:val="clear" w:color="auto" w:fill="D9D9D9" w:themeFill="background1" w:themeFillShade="D9"/>
            <w:vAlign w:val="center"/>
          </w:tcPr>
          <w:p w:rsidR="00C517C8" w:rsidRPr="002E2C06" w:rsidRDefault="000708FA" w:rsidP="00171258">
            <w:pPr>
              <w:jc w:val="center"/>
              <w:rPr>
                <w:rFonts w:cs="Arial"/>
                <w:b/>
                <w:sz w:val="22"/>
                <w:szCs w:val="22"/>
              </w:rPr>
            </w:pPr>
            <w:r w:rsidRPr="002E2C06">
              <w:rPr>
                <w:rFonts w:cs="Arial"/>
                <w:b/>
                <w:sz w:val="22"/>
                <w:szCs w:val="22"/>
              </w:rPr>
              <w:t>ORIGEN</w:t>
            </w:r>
          </w:p>
        </w:tc>
        <w:tc>
          <w:tcPr>
            <w:tcW w:w="1559" w:type="dxa"/>
            <w:shd w:val="clear" w:color="auto" w:fill="D9D9D9" w:themeFill="background1" w:themeFillShade="D9"/>
            <w:vAlign w:val="center"/>
          </w:tcPr>
          <w:p w:rsidR="00C517C8" w:rsidRPr="002E2C06" w:rsidRDefault="000708FA" w:rsidP="00171258">
            <w:pPr>
              <w:jc w:val="center"/>
              <w:rPr>
                <w:rFonts w:cs="Arial"/>
                <w:b/>
                <w:sz w:val="22"/>
                <w:szCs w:val="22"/>
              </w:rPr>
            </w:pPr>
            <w:r w:rsidRPr="002E2C06">
              <w:rPr>
                <w:rFonts w:cs="Arial"/>
                <w:b/>
                <w:sz w:val="22"/>
                <w:szCs w:val="22"/>
              </w:rPr>
              <w:t>TIPO DE ACCIÓN</w:t>
            </w:r>
          </w:p>
        </w:tc>
        <w:tc>
          <w:tcPr>
            <w:tcW w:w="1927" w:type="dxa"/>
            <w:shd w:val="clear" w:color="auto" w:fill="D9D9D9" w:themeFill="background1" w:themeFillShade="D9"/>
            <w:vAlign w:val="center"/>
          </w:tcPr>
          <w:p w:rsidR="00C517C8" w:rsidRPr="002E2C06" w:rsidRDefault="000708FA" w:rsidP="00171258">
            <w:pPr>
              <w:jc w:val="center"/>
              <w:rPr>
                <w:rFonts w:cs="Arial"/>
                <w:b/>
                <w:sz w:val="22"/>
                <w:szCs w:val="22"/>
              </w:rPr>
            </w:pPr>
            <w:r w:rsidRPr="002E2C06">
              <w:rPr>
                <w:rFonts w:cs="Arial"/>
                <w:b/>
                <w:sz w:val="22"/>
                <w:szCs w:val="22"/>
              </w:rPr>
              <w:t>ABIERTOS</w:t>
            </w:r>
          </w:p>
        </w:tc>
        <w:tc>
          <w:tcPr>
            <w:tcW w:w="1833" w:type="dxa"/>
            <w:shd w:val="clear" w:color="auto" w:fill="D9D9D9" w:themeFill="background1" w:themeFillShade="D9"/>
            <w:vAlign w:val="center"/>
          </w:tcPr>
          <w:p w:rsidR="00C517C8" w:rsidRPr="002E2C06" w:rsidRDefault="000708FA" w:rsidP="00171258">
            <w:pPr>
              <w:jc w:val="center"/>
              <w:rPr>
                <w:rFonts w:cs="Arial"/>
                <w:b/>
                <w:sz w:val="22"/>
                <w:szCs w:val="22"/>
              </w:rPr>
            </w:pPr>
            <w:r w:rsidRPr="002E2C06">
              <w:rPr>
                <w:rFonts w:cs="Arial"/>
                <w:b/>
                <w:sz w:val="22"/>
                <w:szCs w:val="22"/>
              </w:rPr>
              <w:t>MITIGADOS</w:t>
            </w:r>
          </w:p>
        </w:tc>
        <w:tc>
          <w:tcPr>
            <w:tcW w:w="950" w:type="dxa"/>
            <w:shd w:val="clear" w:color="auto" w:fill="D9D9D9" w:themeFill="background1" w:themeFillShade="D9"/>
            <w:vAlign w:val="center"/>
          </w:tcPr>
          <w:p w:rsidR="00C517C8" w:rsidRPr="002E2C06" w:rsidRDefault="000708FA" w:rsidP="00171258">
            <w:pPr>
              <w:jc w:val="center"/>
              <w:rPr>
                <w:rFonts w:cs="Arial"/>
                <w:b/>
                <w:i/>
                <w:iCs/>
                <w:sz w:val="22"/>
                <w:szCs w:val="22"/>
              </w:rPr>
            </w:pPr>
            <w:r w:rsidRPr="002E2C06">
              <w:rPr>
                <w:rFonts w:cs="Arial"/>
                <w:b/>
                <w:i/>
                <w:iCs/>
                <w:sz w:val="22"/>
                <w:szCs w:val="22"/>
              </w:rPr>
              <w:t xml:space="preserve">TOTAL </w:t>
            </w:r>
          </w:p>
        </w:tc>
      </w:tr>
      <w:tr w:rsidR="00025B63" w:rsidTr="00171258">
        <w:trPr>
          <w:trHeight w:val="370"/>
        </w:trPr>
        <w:tc>
          <w:tcPr>
            <w:tcW w:w="2694" w:type="dxa"/>
            <w:shd w:val="clear" w:color="auto" w:fill="auto"/>
            <w:vAlign w:val="center"/>
          </w:tcPr>
          <w:p w:rsidR="00C517C8" w:rsidRPr="002E2C06" w:rsidRDefault="000708FA" w:rsidP="00171258">
            <w:pPr>
              <w:jc w:val="center"/>
              <w:rPr>
                <w:rFonts w:cs="Arial"/>
                <w:sz w:val="22"/>
                <w:szCs w:val="22"/>
              </w:rPr>
            </w:pPr>
            <w:r w:rsidRPr="002E2C06">
              <w:rPr>
                <w:rFonts w:cs="Arial"/>
                <w:sz w:val="22"/>
                <w:szCs w:val="22"/>
              </w:rPr>
              <w:t xml:space="preserve">1.1 Riesgo Antijurídico   </w:t>
            </w:r>
          </w:p>
        </w:tc>
        <w:tc>
          <w:tcPr>
            <w:tcW w:w="1559" w:type="dxa"/>
            <w:shd w:val="clear" w:color="auto" w:fill="auto"/>
            <w:vAlign w:val="center"/>
          </w:tcPr>
          <w:p w:rsidR="00C517C8" w:rsidRPr="002E2C06" w:rsidRDefault="000708FA" w:rsidP="00171258">
            <w:pPr>
              <w:jc w:val="center"/>
              <w:rPr>
                <w:rFonts w:cs="Arial"/>
                <w:sz w:val="22"/>
                <w:szCs w:val="22"/>
              </w:rPr>
            </w:pPr>
            <w:r w:rsidRPr="002E2C06">
              <w:rPr>
                <w:rFonts w:cs="Arial"/>
                <w:sz w:val="22"/>
                <w:szCs w:val="22"/>
              </w:rPr>
              <w:t xml:space="preserve">Preventiva </w:t>
            </w:r>
          </w:p>
        </w:tc>
        <w:tc>
          <w:tcPr>
            <w:tcW w:w="1927" w:type="dxa"/>
            <w:shd w:val="clear" w:color="auto" w:fill="auto"/>
            <w:vAlign w:val="center"/>
          </w:tcPr>
          <w:p w:rsidR="00C517C8" w:rsidRPr="002E2C06" w:rsidRDefault="000708FA" w:rsidP="00171258">
            <w:pPr>
              <w:jc w:val="center"/>
              <w:rPr>
                <w:rFonts w:cs="Arial"/>
                <w:sz w:val="22"/>
                <w:szCs w:val="22"/>
              </w:rPr>
            </w:pPr>
            <w:r w:rsidRPr="002E2C06">
              <w:rPr>
                <w:rFonts w:cs="Arial"/>
                <w:sz w:val="22"/>
                <w:szCs w:val="22"/>
              </w:rPr>
              <w:t>0</w:t>
            </w:r>
          </w:p>
        </w:tc>
        <w:tc>
          <w:tcPr>
            <w:tcW w:w="1833" w:type="dxa"/>
            <w:shd w:val="clear" w:color="auto" w:fill="auto"/>
            <w:vAlign w:val="center"/>
          </w:tcPr>
          <w:p w:rsidR="00C517C8" w:rsidRPr="002E2C06" w:rsidRDefault="000708FA" w:rsidP="00171258">
            <w:pPr>
              <w:jc w:val="center"/>
              <w:rPr>
                <w:rFonts w:cs="Arial"/>
                <w:sz w:val="22"/>
                <w:szCs w:val="22"/>
              </w:rPr>
            </w:pPr>
            <w:r w:rsidRPr="002E2C06">
              <w:rPr>
                <w:rFonts w:cs="Arial"/>
                <w:sz w:val="22"/>
                <w:szCs w:val="22"/>
              </w:rPr>
              <w:t>1</w:t>
            </w:r>
          </w:p>
        </w:tc>
        <w:tc>
          <w:tcPr>
            <w:tcW w:w="950" w:type="dxa"/>
            <w:shd w:val="clear" w:color="auto" w:fill="auto"/>
            <w:vAlign w:val="center"/>
          </w:tcPr>
          <w:p w:rsidR="00C517C8" w:rsidRPr="002E2C06" w:rsidRDefault="000708FA" w:rsidP="00171258">
            <w:pPr>
              <w:jc w:val="center"/>
              <w:rPr>
                <w:rFonts w:cs="Arial"/>
                <w:iCs/>
                <w:sz w:val="22"/>
                <w:szCs w:val="22"/>
              </w:rPr>
            </w:pPr>
            <w:r w:rsidRPr="002E2C06">
              <w:rPr>
                <w:rFonts w:cs="Arial"/>
                <w:iCs/>
                <w:sz w:val="22"/>
                <w:szCs w:val="22"/>
              </w:rPr>
              <w:t>1</w:t>
            </w:r>
          </w:p>
        </w:tc>
      </w:tr>
      <w:tr w:rsidR="00025B63" w:rsidTr="00171258">
        <w:trPr>
          <w:trHeight w:val="370"/>
        </w:trPr>
        <w:tc>
          <w:tcPr>
            <w:tcW w:w="2694" w:type="dxa"/>
            <w:shd w:val="clear" w:color="auto" w:fill="auto"/>
            <w:vAlign w:val="center"/>
          </w:tcPr>
          <w:p w:rsidR="00C517C8" w:rsidRPr="002E2C06" w:rsidRDefault="000708FA" w:rsidP="00171258">
            <w:pPr>
              <w:jc w:val="center"/>
              <w:rPr>
                <w:rFonts w:cs="Arial"/>
                <w:sz w:val="22"/>
                <w:szCs w:val="22"/>
              </w:rPr>
            </w:pPr>
            <w:r w:rsidRPr="002E2C06">
              <w:rPr>
                <w:rFonts w:cs="Arial"/>
                <w:sz w:val="22"/>
                <w:szCs w:val="22"/>
              </w:rPr>
              <w:t xml:space="preserve">1.2 Riesgo Corrupción </w:t>
            </w:r>
          </w:p>
        </w:tc>
        <w:tc>
          <w:tcPr>
            <w:tcW w:w="1559" w:type="dxa"/>
            <w:shd w:val="clear" w:color="auto" w:fill="auto"/>
            <w:vAlign w:val="center"/>
          </w:tcPr>
          <w:p w:rsidR="00C517C8" w:rsidRPr="002E2C06" w:rsidRDefault="000708FA" w:rsidP="00171258">
            <w:pPr>
              <w:jc w:val="center"/>
              <w:rPr>
                <w:rFonts w:cs="Arial"/>
                <w:sz w:val="22"/>
                <w:szCs w:val="22"/>
              </w:rPr>
            </w:pPr>
            <w:r w:rsidRPr="002E2C06">
              <w:rPr>
                <w:rFonts w:cs="Arial"/>
                <w:sz w:val="22"/>
                <w:szCs w:val="22"/>
              </w:rPr>
              <w:t>Preventiva</w:t>
            </w:r>
          </w:p>
        </w:tc>
        <w:tc>
          <w:tcPr>
            <w:tcW w:w="1927" w:type="dxa"/>
            <w:shd w:val="clear" w:color="auto" w:fill="auto"/>
            <w:vAlign w:val="center"/>
          </w:tcPr>
          <w:p w:rsidR="00C517C8" w:rsidRPr="002E2C06" w:rsidRDefault="000708FA" w:rsidP="00171258">
            <w:pPr>
              <w:jc w:val="center"/>
              <w:rPr>
                <w:rFonts w:cs="Arial"/>
                <w:sz w:val="22"/>
                <w:szCs w:val="22"/>
              </w:rPr>
            </w:pPr>
            <w:r w:rsidRPr="002E2C06">
              <w:rPr>
                <w:rFonts w:cs="Arial"/>
                <w:sz w:val="22"/>
                <w:szCs w:val="22"/>
              </w:rPr>
              <w:t>0</w:t>
            </w:r>
          </w:p>
        </w:tc>
        <w:tc>
          <w:tcPr>
            <w:tcW w:w="1833" w:type="dxa"/>
            <w:shd w:val="clear" w:color="auto" w:fill="auto"/>
            <w:vAlign w:val="center"/>
          </w:tcPr>
          <w:p w:rsidR="00C517C8" w:rsidRPr="002E2C06" w:rsidRDefault="000708FA" w:rsidP="00171258">
            <w:pPr>
              <w:jc w:val="center"/>
              <w:rPr>
                <w:rFonts w:cs="Arial"/>
                <w:sz w:val="22"/>
                <w:szCs w:val="22"/>
              </w:rPr>
            </w:pPr>
            <w:r w:rsidRPr="002E2C06">
              <w:rPr>
                <w:rFonts w:cs="Arial"/>
                <w:sz w:val="22"/>
                <w:szCs w:val="22"/>
              </w:rPr>
              <w:t>2</w:t>
            </w:r>
          </w:p>
        </w:tc>
        <w:tc>
          <w:tcPr>
            <w:tcW w:w="950" w:type="dxa"/>
            <w:shd w:val="clear" w:color="auto" w:fill="auto"/>
            <w:vAlign w:val="center"/>
          </w:tcPr>
          <w:p w:rsidR="00C517C8" w:rsidRPr="002E2C06" w:rsidRDefault="000708FA" w:rsidP="00171258">
            <w:pPr>
              <w:jc w:val="center"/>
              <w:rPr>
                <w:rFonts w:cs="Arial"/>
                <w:iCs/>
                <w:sz w:val="22"/>
                <w:szCs w:val="22"/>
              </w:rPr>
            </w:pPr>
            <w:r w:rsidRPr="002E2C06">
              <w:rPr>
                <w:rFonts w:cs="Arial"/>
                <w:iCs/>
                <w:sz w:val="22"/>
                <w:szCs w:val="22"/>
              </w:rPr>
              <w:t>2</w:t>
            </w:r>
          </w:p>
        </w:tc>
      </w:tr>
      <w:tr w:rsidR="00025B63" w:rsidTr="00171258">
        <w:trPr>
          <w:trHeight w:val="357"/>
        </w:trPr>
        <w:tc>
          <w:tcPr>
            <w:tcW w:w="4253" w:type="dxa"/>
            <w:gridSpan w:val="2"/>
            <w:shd w:val="clear" w:color="auto" w:fill="D9D9D9" w:themeFill="background1" w:themeFillShade="D9"/>
            <w:vAlign w:val="center"/>
          </w:tcPr>
          <w:p w:rsidR="00C517C8" w:rsidRPr="002E2C06" w:rsidRDefault="000708FA" w:rsidP="00171258">
            <w:pPr>
              <w:jc w:val="center"/>
              <w:rPr>
                <w:rFonts w:cs="Arial"/>
                <w:iCs/>
                <w:sz w:val="22"/>
                <w:szCs w:val="22"/>
              </w:rPr>
            </w:pPr>
            <w:r w:rsidRPr="002E2C06">
              <w:rPr>
                <w:rFonts w:cs="Arial"/>
                <w:iCs/>
                <w:sz w:val="22"/>
                <w:szCs w:val="22"/>
              </w:rPr>
              <w:t xml:space="preserve">TOTAL </w:t>
            </w:r>
          </w:p>
        </w:tc>
        <w:tc>
          <w:tcPr>
            <w:tcW w:w="1927" w:type="dxa"/>
            <w:shd w:val="clear" w:color="auto" w:fill="D9D9D9" w:themeFill="background1" w:themeFillShade="D9"/>
            <w:vAlign w:val="center"/>
          </w:tcPr>
          <w:p w:rsidR="00C517C8" w:rsidRPr="002E2C06" w:rsidRDefault="000708FA" w:rsidP="00171258">
            <w:pPr>
              <w:jc w:val="center"/>
              <w:rPr>
                <w:rFonts w:cs="Arial"/>
                <w:iCs/>
                <w:sz w:val="22"/>
                <w:szCs w:val="22"/>
              </w:rPr>
            </w:pPr>
            <w:r w:rsidRPr="002E2C06">
              <w:rPr>
                <w:rFonts w:cs="Arial"/>
                <w:iCs/>
                <w:sz w:val="22"/>
                <w:szCs w:val="22"/>
              </w:rPr>
              <w:t>0</w:t>
            </w:r>
          </w:p>
        </w:tc>
        <w:tc>
          <w:tcPr>
            <w:tcW w:w="1833" w:type="dxa"/>
            <w:shd w:val="clear" w:color="auto" w:fill="D9D9D9" w:themeFill="background1" w:themeFillShade="D9"/>
            <w:vAlign w:val="center"/>
          </w:tcPr>
          <w:p w:rsidR="00C517C8" w:rsidRPr="002E2C06" w:rsidRDefault="000708FA" w:rsidP="00171258">
            <w:pPr>
              <w:jc w:val="center"/>
              <w:rPr>
                <w:rFonts w:cs="Arial"/>
                <w:iCs/>
                <w:sz w:val="22"/>
                <w:szCs w:val="22"/>
              </w:rPr>
            </w:pPr>
            <w:r w:rsidRPr="002E2C06">
              <w:rPr>
                <w:rFonts w:cs="Arial"/>
                <w:iCs/>
                <w:sz w:val="22"/>
                <w:szCs w:val="22"/>
              </w:rPr>
              <w:t>3</w:t>
            </w:r>
          </w:p>
        </w:tc>
        <w:tc>
          <w:tcPr>
            <w:tcW w:w="950" w:type="dxa"/>
            <w:shd w:val="clear" w:color="auto" w:fill="D9D9D9" w:themeFill="background1" w:themeFillShade="D9"/>
            <w:vAlign w:val="center"/>
          </w:tcPr>
          <w:p w:rsidR="00C517C8" w:rsidRPr="002E2C06" w:rsidRDefault="000708FA" w:rsidP="00171258">
            <w:pPr>
              <w:jc w:val="center"/>
              <w:rPr>
                <w:rFonts w:cs="Arial"/>
                <w:iCs/>
                <w:sz w:val="22"/>
                <w:szCs w:val="22"/>
              </w:rPr>
            </w:pPr>
            <w:r w:rsidRPr="002E2C06">
              <w:rPr>
                <w:rFonts w:cs="Arial"/>
                <w:iCs/>
                <w:sz w:val="22"/>
                <w:szCs w:val="22"/>
              </w:rPr>
              <w:t>3</w:t>
            </w:r>
          </w:p>
        </w:tc>
      </w:tr>
    </w:tbl>
    <w:p w:rsidR="00C517C8" w:rsidRPr="002E2C06" w:rsidRDefault="000708FA" w:rsidP="00C517C8">
      <w:pPr>
        <w:jc w:val="both"/>
        <w:rPr>
          <w:rFonts w:cs="Arial"/>
          <w:sz w:val="20"/>
        </w:rPr>
      </w:pPr>
      <w:r w:rsidRPr="002E2C06">
        <w:rPr>
          <w:rFonts w:cs="Arial"/>
          <w:sz w:val="20"/>
        </w:rPr>
        <w:t>Fuente: Reporte Anexo 1 PM Proceso  de Responsabilidad Fiscal y Jurisdicción Coactiva</w:t>
      </w:r>
    </w:p>
    <w:p w:rsidR="00C517C8" w:rsidRPr="002E2C06" w:rsidRDefault="000708FA" w:rsidP="00C517C8">
      <w:pPr>
        <w:jc w:val="both"/>
        <w:rPr>
          <w:rFonts w:cs="Arial"/>
          <w:szCs w:val="24"/>
        </w:rPr>
      </w:pPr>
    </w:p>
    <w:p w:rsidR="00C517C8" w:rsidRPr="002E2C06" w:rsidRDefault="000708FA" w:rsidP="00C517C8">
      <w:pPr>
        <w:tabs>
          <w:tab w:val="left" w:pos="3400"/>
        </w:tabs>
        <w:jc w:val="both"/>
        <w:rPr>
          <w:rFonts w:cs="Arial"/>
          <w:b/>
          <w:szCs w:val="24"/>
        </w:rPr>
      </w:pPr>
      <w:r w:rsidRPr="002E2C06">
        <w:rPr>
          <w:rFonts w:cs="Arial"/>
          <w:b/>
          <w:szCs w:val="24"/>
        </w:rPr>
        <w:t>Origen 1.1  - Riesgo Antijurídico:</w:t>
      </w:r>
      <w:r w:rsidRPr="002E2C06">
        <w:rPr>
          <w:rFonts w:cs="Arial"/>
          <w:b/>
          <w:szCs w:val="24"/>
        </w:rPr>
        <w:tab/>
      </w:r>
    </w:p>
    <w:p w:rsidR="00C517C8" w:rsidRPr="002E2C06" w:rsidRDefault="000708FA" w:rsidP="00C517C8">
      <w:pPr>
        <w:tabs>
          <w:tab w:val="left" w:pos="3400"/>
        </w:tabs>
        <w:jc w:val="both"/>
        <w:rPr>
          <w:rFonts w:cs="Arial"/>
          <w:b/>
          <w:szCs w:val="24"/>
        </w:rPr>
      </w:pPr>
    </w:p>
    <w:p w:rsidR="00C517C8" w:rsidRPr="002E2C06" w:rsidRDefault="000708FA" w:rsidP="00C517C8">
      <w:pPr>
        <w:numPr>
          <w:ilvl w:val="0"/>
          <w:numId w:val="2"/>
        </w:numPr>
        <w:jc w:val="both"/>
        <w:rPr>
          <w:rFonts w:cs="Arial"/>
          <w:b/>
          <w:i/>
          <w:szCs w:val="24"/>
        </w:rPr>
      </w:pPr>
      <w:r w:rsidRPr="002E2C06">
        <w:rPr>
          <w:rFonts w:cs="Arial"/>
          <w:i/>
          <w:szCs w:val="24"/>
        </w:rPr>
        <w:t xml:space="preserve">“Riesgo de que se produzca un </w:t>
      </w:r>
      <w:r w:rsidRPr="002E2C06">
        <w:rPr>
          <w:rFonts w:cs="Arial"/>
          <w:i/>
          <w:szCs w:val="24"/>
        </w:rPr>
        <w:t>Indebido sumi</w:t>
      </w:r>
      <w:r>
        <w:rPr>
          <w:rFonts w:cs="Arial"/>
          <w:i/>
          <w:szCs w:val="24"/>
        </w:rPr>
        <w:t>ni</w:t>
      </w:r>
      <w:r w:rsidRPr="002E2C06">
        <w:rPr>
          <w:rFonts w:cs="Arial"/>
          <w:i/>
          <w:szCs w:val="24"/>
        </w:rPr>
        <w:t>stro de la información sobre el estado de los procesos de Cobro Coactivo”.</w:t>
      </w:r>
    </w:p>
    <w:p w:rsidR="00C517C8" w:rsidRPr="002E2C06" w:rsidRDefault="000708FA" w:rsidP="00C517C8">
      <w:pPr>
        <w:ind w:left="720"/>
        <w:jc w:val="both"/>
        <w:rPr>
          <w:rFonts w:cs="Arial"/>
          <w:b/>
          <w:i/>
          <w:szCs w:val="24"/>
        </w:rPr>
      </w:pPr>
    </w:p>
    <w:p w:rsidR="00C517C8" w:rsidRPr="002E2C06" w:rsidRDefault="000708FA" w:rsidP="00C517C8">
      <w:pPr>
        <w:jc w:val="both"/>
        <w:rPr>
          <w:rFonts w:cs="Arial"/>
          <w:szCs w:val="24"/>
        </w:rPr>
      </w:pPr>
      <w:r w:rsidRPr="002E2C06">
        <w:rPr>
          <w:rFonts w:cs="Arial"/>
          <w:b/>
          <w:szCs w:val="24"/>
        </w:rPr>
        <w:t>Acción:</w:t>
      </w:r>
      <w:r w:rsidRPr="002E2C06">
        <w:rPr>
          <w:rFonts w:cs="Arial"/>
          <w:i/>
          <w:szCs w:val="24"/>
        </w:rPr>
        <w:t xml:space="preserve"> </w:t>
      </w:r>
      <w:r w:rsidRPr="002E2C06">
        <w:rPr>
          <w:rFonts w:cs="Arial"/>
          <w:b/>
          <w:szCs w:val="24"/>
        </w:rPr>
        <w:t>“</w:t>
      </w:r>
      <w:r w:rsidRPr="002E2C06">
        <w:rPr>
          <w:rFonts w:cs="Arial"/>
          <w:i/>
          <w:szCs w:val="24"/>
        </w:rPr>
        <w:t>Realizar jornadas periódicas de sensibilización en temas de aplicación de principios y valores y conocimiento de normas disciplinarias y penales”</w:t>
      </w:r>
    </w:p>
    <w:p w:rsidR="00C517C8" w:rsidRPr="002E2C06" w:rsidRDefault="000708FA" w:rsidP="00C517C8">
      <w:pPr>
        <w:jc w:val="both"/>
        <w:rPr>
          <w:rFonts w:cs="Arial"/>
          <w:color w:val="FF0000"/>
          <w:szCs w:val="24"/>
        </w:rPr>
      </w:pPr>
    </w:p>
    <w:p w:rsidR="00C517C8" w:rsidRPr="002E2C06" w:rsidRDefault="000708FA" w:rsidP="00C517C8">
      <w:pPr>
        <w:jc w:val="both"/>
        <w:rPr>
          <w:rFonts w:cs="Arial"/>
          <w:szCs w:val="24"/>
        </w:rPr>
      </w:pPr>
      <w:r w:rsidRPr="002E2C06">
        <w:rPr>
          <w:rFonts w:cs="Arial"/>
          <w:b/>
          <w:szCs w:val="24"/>
        </w:rPr>
        <w:t xml:space="preserve">Verificación: </w:t>
      </w:r>
      <w:r w:rsidRPr="002E2C06">
        <w:rPr>
          <w:rFonts w:cs="Arial"/>
          <w:szCs w:val="24"/>
        </w:rPr>
        <w:t xml:space="preserve">Se evidencian jornadas de sensibilización en mesas de trabajo, recordando el cumplimiento de los deberes y obligaciones de un servidor público, igualmente, socializando el protocolo ético de la Contraloría de Bogotá. Mediante Acta de Reunión </w:t>
      </w:r>
      <w:r w:rsidRPr="002E2C06">
        <w:rPr>
          <w:rFonts w:cs="Arial"/>
          <w:szCs w:val="24"/>
        </w:rPr>
        <w:t>de Trabajo Nª 09  del 1/12/2015 se recordó sobe el cuidado y correcto uso que se debe tener en el manejo de la información. El riesgo se mitiga.</w:t>
      </w:r>
    </w:p>
    <w:p w:rsidR="00C517C8" w:rsidRPr="002E2C06" w:rsidRDefault="000708FA" w:rsidP="00C517C8">
      <w:pPr>
        <w:jc w:val="both"/>
        <w:rPr>
          <w:rFonts w:cs="Arial"/>
          <w:color w:val="FF0000"/>
          <w:szCs w:val="24"/>
        </w:rPr>
      </w:pPr>
      <w:r w:rsidRPr="002E2C06">
        <w:rPr>
          <w:rFonts w:cs="Arial"/>
          <w:color w:val="FF0000"/>
          <w:szCs w:val="24"/>
        </w:rPr>
        <w:t xml:space="preserve">                                                       </w:t>
      </w:r>
    </w:p>
    <w:p w:rsidR="00C517C8" w:rsidRPr="002E2C06" w:rsidRDefault="000708FA" w:rsidP="00C517C8">
      <w:pPr>
        <w:tabs>
          <w:tab w:val="left" w:pos="3400"/>
        </w:tabs>
        <w:jc w:val="both"/>
        <w:rPr>
          <w:rFonts w:cs="Arial"/>
          <w:b/>
          <w:szCs w:val="24"/>
        </w:rPr>
      </w:pPr>
      <w:r w:rsidRPr="002E2C06">
        <w:rPr>
          <w:rFonts w:cs="Arial"/>
          <w:b/>
          <w:szCs w:val="24"/>
        </w:rPr>
        <w:t>Origen 1.2  - Riesgo corrupción:</w:t>
      </w:r>
      <w:r w:rsidRPr="002E2C06">
        <w:rPr>
          <w:rFonts w:cs="Arial"/>
          <w:b/>
          <w:szCs w:val="24"/>
        </w:rPr>
        <w:tab/>
      </w:r>
    </w:p>
    <w:p w:rsidR="00C517C8" w:rsidRPr="002E2C06" w:rsidRDefault="000708FA" w:rsidP="00C517C8">
      <w:pPr>
        <w:jc w:val="both"/>
        <w:rPr>
          <w:rFonts w:cs="Arial"/>
          <w:color w:val="FF0000"/>
          <w:szCs w:val="24"/>
        </w:rPr>
      </w:pPr>
    </w:p>
    <w:p w:rsidR="00C517C8" w:rsidRPr="002E2C06" w:rsidRDefault="000708FA" w:rsidP="00C517C8">
      <w:pPr>
        <w:numPr>
          <w:ilvl w:val="0"/>
          <w:numId w:val="2"/>
        </w:numPr>
        <w:jc w:val="both"/>
        <w:rPr>
          <w:rFonts w:cs="Arial"/>
          <w:szCs w:val="24"/>
        </w:rPr>
      </w:pPr>
      <w:r w:rsidRPr="002E2C06">
        <w:rPr>
          <w:rFonts w:cs="Arial"/>
          <w:i/>
          <w:szCs w:val="24"/>
        </w:rPr>
        <w:t>“</w:t>
      </w:r>
      <w:r w:rsidRPr="002E2C06">
        <w:rPr>
          <w:rFonts w:cs="Arial"/>
          <w:i/>
          <w:sz w:val="22"/>
          <w:szCs w:val="22"/>
        </w:rPr>
        <w:t xml:space="preserve">No lograr </w:t>
      </w:r>
      <w:r w:rsidRPr="002E2C06">
        <w:rPr>
          <w:rFonts w:cs="Arial"/>
          <w:i/>
          <w:sz w:val="22"/>
          <w:szCs w:val="22"/>
        </w:rPr>
        <w:t>determinar y establecer la responsabilidad fiscal”.</w:t>
      </w:r>
    </w:p>
    <w:p w:rsidR="00C517C8" w:rsidRPr="002E2C06" w:rsidRDefault="000708FA" w:rsidP="00C517C8">
      <w:pPr>
        <w:jc w:val="both"/>
        <w:rPr>
          <w:rFonts w:cs="Arial"/>
          <w:b/>
          <w:color w:val="FF0000"/>
          <w:szCs w:val="24"/>
        </w:rPr>
      </w:pPr>
    </w:p>
    <w:p w:rsidR="00C517C8" w:rsidRPr="002E2C06" w:rsidRDefault="000708FA" w:rsidP="00C517C8">
      <w:pPr>
        <w:jc w:val="both"/>
        <w:rPr>
          <w:rFonts w:cs="Arial"/>
          <w:i/>
          <w:szCs w:val="24"/>
        </w:rPr>
      </w:pPr>
      <w:r w:rsidRPr="002E2C06">
        <w:rPr>
          <w:rFonts w:cs="Arial"/>
          <w:b/>
          <w:szCs w:val="24"/>
        </w:rPr>
        <w:t>Acción:</w:t>
      </w:r>
      <w:r w:rsidRPr="002E2C06">
        <w:rPr>
          <w:rFonts w:cs="Arial"/>
          <w:i/>
          <w:szCs w:val="24"/>
        </w:rPr>
        <w:t xml:space="preserve"> </w:t>
      </w:r>
      <w:r w:rsidRPr="002E2C06">
        <w:rPr>
          <w:rFonts w:cs="Arial"/>
          <w:b/>
          <w:i/>
          <w:szCs w:val="24"/>
        </w:rPr>
        <w:t>“</w:t>
      </w:r>
      <w:r w:rsidRPr="002E2C06">
        <w:rPr>
          <w:rFonts w:cs="Arial"/>
          <w:i/>
          <w:szCs w:val="24"/>
        </w:rPr>
        <w:t>Requerir a la alta dirección el incremento del talento humano competente y formular plan de contingencia para obtener por un tiempo determinado el apoyo de abogados y personal para secretaria.”</w:t>
      </w:r>
    </w:p>
    <w:p w:rsidR="00C517C8" w:rsidRPr="002E2C06" w:rsidRDefault="000708FA" w:rsidP="00C517C8">
      <w:pPr>
        <w:jc w:val="both"/>
        <w:rPr>
          <w:rFonts w:cs="Arial"/>
          <w:i/>
          <w:color w:val="FF0000"/>
          <w:szCs w:val="24"/>
        </w:rPr>
      </w:pPr>
    </w:p>
    <w:p w:rsidR="00C517C8" w:rsidRPr="002E2C06" w:rsidRDefault="000708FA" w:rsidP="00C517C8">
      <w:pPr>
        <w:jc w:val="both"/>
        <w:rPr>
          <w:rFonts w:cs="Arial"/>
          <w:szCs w:val="24"/>
        </w:rPr>
      </w:pPr>
      <w:r w:rsidRPr="002E2C06">
        <w:rPr>
          <w:rFonts w:cs="Arial"/>
          <w:b/>
          <w:szCs w:val="24"/>
        </w:rPr>
        <w:lastRenderedPageBreak/>
        <w:t xml:space="preserve">Verificación: </w:t>
      </w:r>
      <w:r w:rsidRPr="002E2C06">
        <w:rPr>
          <w:rFonts w:cs="Arial"/>
          <w:szCs w:val="24"/>
        </w:rPr>
        <w:t>No se evidencio solicitud de abogados con el objeto de aumentar el número de sustanciadores en la Dirección por considerar que no se requerían, teniendo en cuenta que fueron asignados 7 profesionales y 7 contratistas.</w:t>
      </w:r>
    </w:p>
    <w:p w:rsidR="00C517C8" w:rsidRPr="002E2C06" w:rsidRDefault="000708FA" w:rsidP="00C517C8">
      <w:pPr>
        <w:jc w:val="both"/>
        <w:rPr>
          <w:rFonts w:cs="Arial"/>
          <w:szCs w:val="24"/>
        </w:rPr>
      </w:pPr>
    </w:p>
    <w:p w:rsidR="00C517C8" w:rsidRPr="002E2C06" w:rsidRDefault="000708FA" w:rsidP="00C517C8">
      <w:pPr>
        <w:tabs>
          <w:tab w:val="left" w:pos="3400"/>
        </w:tabs>
        <w:jc w:val="both"/>
        <w:rPr>
          <w:rFonts w:cs="Arial"/>
          <w:b/>
          <w:szCs w:val="24"/>
        </w:rPr>
      </w:pPr>
      <w:r w:rsidRPr="002E2C06">
        <w:rPr>
          <w:rFonts w:cs="Arial"/>
          <w:b/>
          <w:szCs w:val="24"/>
        </w:rPr>
        <w:t>Origen 1.2  - Riesgo c</w:t>
      </w:r>
      <w:r w:rsidRPr="002E2C06">
        <w:rPr>
          <w:rFonts w:cs="Arial"/>
          <w:b/>
          <w:szCs w:val="24"/>
        </w:rPr>
        <w:t>orrupción:</w:t>
      </w:r>
      <w:r w:rsidRPr="002E2C06">
        <w:rPr>
          <w:rFonts w:cs="Arial"/>
          <w:b/>
          <w:szCs w:val="24"/>
        </w:rPr>
        <w:tab/>
      </w:r>
    </w:p>
    <w:p w:rsidR="00C517C8" w:rsidRPr="002E2C06" w:rsidRDefault="000708FA" w:rsidP="00C517C8">
      <w:pPr>
        <w:jc w:val="both"/>
        <w:rPr>
          <w:rFonts w:cs="Arial"/>
          <w:color w:val="FF0000"/>
          <w:szCs w:val="24"/>
        </w:rPr>
      </w:pPr>
    </w:p>
    <w:p w:rsidR="00C517C8" w:rsidRPr="002E2C06" w:rsidRDefault="000708FA" w:rsidP="00C517C8">
      <w:pPr>
        <w:numPr>
          <w:ilvl w:val="0"/>
          <w:numId w:val="2"/>
        </w:numPr>
        <w:jc w:val="both"/>
        <w:rPr>
          <w:rFonts w:cs="Arial"/>
          <w:sz w:val="22"/>
          <w:szCs w:val="22"/>
        </w:rPr>
      </w:pPr>
      <w:r w:rsidRPr="002E2C06">
        <w:rPr>
          <w:rFonts w:cs="Arial"/>
          <w:i/>
          <w:sz w:val="22"/>
          <w:szCs w:val="22"/>
        </w:rPr>
        <w:t>Riesgo de que se produzcan decisiones ajustadas a indebido interés particular (Corrupción)</w:t>
      </w:r>
    </w:p>
    <w:p w:rsidR="00C517C8" w:rsidRPr="002E2C06" w:rsidRDefault="000708FA" w:rsidP="00C517C8">
      <w:pPr>
        <w:ind w:left="720"/>
        <w:jc w:val="both"/>
        <w:rPr>
          <w:rFonts w:cs="Arial"/>
          <w:color w:val="FF0000"/>
          <w:szCs w:val="24"/>
        </w:rPr>
      </w:pPr>
    </w:p>
    <w:p w:rsidR="00C517C8" w:rsidRPr="002E2C06" w:rsidRDefault="000708FA" w:rsidP="00C517C8">
      <w:pPr>
        <w:jc w:val="both"/>
        <w:rPr>
          <w:rFonts w:cs="Arial"/>
          <w:i/>
          <w:szCs w:val="24"/>
        </w:rPr>
      </w:pPr>
      <w:r w:rsidRPr="002E2C06">
        <w:rPr>
          <w:rFonts w:cs="Arial"/>
          <w:b/>
          <w:szCs w:val="24"/>
        </w:rPr>
        <w:t>Acción:</w:t>
      </w:r>
      <w:r w:rsidRPr="002E2C06">
        <w:rPr>
          <w:rFonts w:cs="Arial"/>
          <w:i/>
          <w:szCs w:val="24"/>
        </w:rPr>
        <w:t xml:space="preserve"> </w:t>
      </w:r>
      <w:r w:rsidRPr="002E2C06">
        <w:rPr>
          <w:rFonts w:cs="Arial"/>
          <w:b/>
          <w:szCs w:val="24"/>
        </w:rPr>
        <w:t>“</w:t>
      </w:r>
      <w:r w:rsidRPr="002E2C06">
        <w:rPr>
          <w:rFonts w:cs="Arial"/>
          <w:i/>
          <w:szCs w:val="24"/>
        </w:rPr>
        <w:t xml:space="preserve">Requerir a la alta dirección el incremento del talento humano competente y formular plan de contingencia para obtener por un tiempo </w:t>
      </w:r>
      <w:r w:rsidRPr="002E2C06">
        <w:rPr>
          <w:rFonts w:cs="Arial"/>
          <w:i/>
          <w:szCs w:val="24"/>
        </w:rPr>
        <w:t>determinado el apoyo de abogados y personal para secretaria.”</w:t>
      </w:r>
    </w:p>
    <w:p w:rsidR="00C517C8" w:rsidRPr="002E2C06" w:rsidRDefault="000708FA" w:rsidP="00C517C8">
      <w:pPr>
        <w:jc w:val="both"/>
        <w:rPr>
          <w:rFonts w:cs="Arial"/>
          <w:color w:val="FF0000"/>
          <w:szCs w:val="24"/>
        </w:rPr>
      </w:pPr>
    </w:p>
    <w:p w:rsidR="00C517C8" w:rsidRPr="002E2C06" w:rsidRDefault="000708FA" w:rsidP="00C517C8">
      <w:pPr>
        <w:jc w:val="both"/>
        <w:rPr>
          <w:rFonts w:cs="Arial"/>
          <w:szCs w:val="24"/>
        </w:rPr>
      </w:pPr>
      <w:r w:rsidRPr="002E2C06">
        <w:rPr>
          <w:rFonts w:cs="Arial"/>
          <w:b/>
          <w:szCs w:val="24"/>
        </w:rPr>
        <w:t xml:space="preserve">Verificación: </w:t>
      </w:r>
      <w:r w:rsidRPr="002E2C06">
        <w:rPr>
          <w:rFonts w:cs="Arial"/>
          <w:szCs w:val="24"/>
        </w:rPr>
        <w:t>No se evidencio solicitud de abogados con el objeto de aumentar el número de sustanciadores en la Dirección por considerar que no se requerían, teniendo en cuenta que fueron asign</w:t>
      </w:r>
      <w:r w:rsidRPr="002E2C06">
        <w:rPr>
          <w:rFonts w:cs="Arial"/>
          <w:szCs w:val="24"/>
        </w:rPr>
        <w:t>ados 7 profesionales y 7 contratistas</w:t>
      </w:r>
    </w:p>
    <w:p w:rsidR="00C517C8" w:rsidRPr="002E2C06" w:rsidRDefault="000708FA" w:rsidP="00C517C8">
      <w:pPr>
        <w:jc w:val="both"/>
        <w:rPr>
          <w:rFonts w:cs="Arial"/>
          <w:szCs w:val="24"/>
        </w:rPr>
      </w:pPr>
    </w:p>
    <w:p w:rsidR="00C517C8" w:rsidRPr="002E2C06" w:rsidRDefault="000708FA" w:rsidP="00C517C8">
      <w:pPr>
        <w:jc w:val="both"/>
        <w:rPr>
          <w:rFonts w:cs="Arial"/>
          <w:b/>
          <w:szCs w:val="24"/>
        </w:rPr>
      </w:pPr>
      <w:r w:rsidRPr="002E2C06">
        <w:rPr>
          <w:rFonts w:cs="Arial"/>
          <w:b/>
          <w:szCs w:val="24"/>
        </w:rPr>
        <w:t>RECOMENDACIONES GENERALES</w:t>
      </w:r>
    </w:p>
    <w:p w:rsidR="00C517C8" w:rsidRPr="002E2C06" w:rsidRDefault="000708FA" w:rsidP="00C517C8">
      <w:pPr>
        <w:jc w:val="both"/>
        <w:rPr>
          <w:rFonts w:cs="Arial"/>
          <w:b/>
          <w:szCs w:val="24"/>
        </w:rPr>
      </w:pPr>
    </w:p>
    <w:p w:rsidR="00C517C8" w:rsidRPr="002E2C06" w:rsidRDefault="000708FA" w:rsidP="00C517C8">
      <w:pPr>
        <w:numPr>
          <w:ilvl w:val="0"/>
          <w:numId w:val="1"/>
        </w:numPr>
        <w:jc w:val="both"/>
        <w:rPr>
          <w:rFonts w:cs="Arial"/>
          <w:szCs w:val="24"/>
          <w:lang w:val="es-ES_tradnl"/>
        </w:rPr>
      </w:pPr>
      <w:r w:rsidRPr="002E2C06">
        <w:rPr>
          <w:rFonts w:cs="Arial"/>
          <w:szCs w:val="24"/>
          <w:lang w:val="es-ES_tradnl"/>
        </w:rPr>
        <w:t>Dar cumplimiento al Procedimiento Plan de Mejoramiento-acciones correctivas y de mejora, para evitar el incumplimiento de las acciones formuladas para los hallazgos de la Auditoria Fiscal.</w:t>
      </w:r>
    </w:p>
    <w:p w:rsidR="00C517C8" w:rsidRDefault="000708FA" w:rsidP="00C517C8">
      <w:pPr>
        <w:rPr>
          <w:rFonts w:cs="Arial"/>
          <w:szCs w:val="24"/>
          <w:lang w:val="es-ES_tradnl" w:eastAsia="es-CO"/>
        </w:rPr>
      </w:pPr>
    </w:p>
    <w:p w:rsidR="00C517C8" w:rsidRDefault="000708FA" w:rsidP="00C517C8">
      <w:r w:rsidRPr="002E2C06">
        <w:rPr>
          <w:rFonts w:cs="Arial"/>
          <w:szCs w:val="24"/>
          <w:lang w:val="es-ES_tradnl" w:eastAsia="es-CO"/>
        </w:rPr>
        <w:t>Se recomienda que las acciones implementadas en los planes de mejoramiento la conozcan todos los funcionarios de la Dirección de Responsabilidad Fiscal y Jurisdicción Coactiva, para que de esta manera se logre contribuir al mejoramiento de la calidad de lo</w:t>
      </w:r>
      <w:r w:rsidRPr="002E2C06">
        <w:rPr>
          <w:rFonts w:cs="Arial"/>
          <w:szCs w:val="24"/>
          <w:lang w:val="es-ES_tradnl" w:eastAsia="es-CO"/>
        </w:rPr>
        <w:t xml:space="preserve">s productos por los que debe responder la </w:t>
      </w:r>
      <w:r w:rsidRPr="002E2C06">
        <w:rPr>
          <w:rFonts w:cs="Arial"/>
          <w:szCs w:val="24"/>
          <w:lang w:val="es-ES_tradnl"/>
        </w:rPr>
        <w:t>Dirección</w:t>
      </w:r>
    </w:p>
    <w:p w:rsidR="00C517C8" w:rsidRDefault="000708FA" w:rsidP="00C517C8"/>
    <w:p w:rsidR="00C517C8" w:rsidRDefault="000708FA" w:rsidP="00C517C8">
      <w:pPr>
        <w:outlineLvl w:val="0"/>
        <w:rPr>
          <w:rFonts w:cs="Arial"/>
          <w:szCs w:val="24"/>
        </w:rPr>
      </w:pPr>
    </w:p>
    <w:p w:rsidR="0080302C" w:rsidRDefault="000708FA" w:rsidP="006836EB">
      <w:pPr>
        <w:outlineLvl w:val="0"/>
        <w:rPr>
          <w:rFonts w:cs="Arial"/>
          <w:szCs w:val="24"/>
        </w:rPr>
      </w:pPr>
      <w:r>
        <w:rPr>
          <w:rFonts w:cs="Arial"/>
          <w:szCs w:val="24"/>
        </w:rPr>
        <w:t>Cordialmente,</w:t>
      </w:r>
    </w:p>
    <w:p w:rsidR="00E07534" w:rsidRDefault="000708FA" w:rsidP="006836EB">
      <w:pPr>
        <w:outlineLvl w:val="0"/>
        <w:rPr>
          <w:rFonts w:cs="Arial"/>
          <w:szCs w:val="24"/>
        </w:rPr>
      </w:pPr>
    </w:p>
    <w:p w:rsidR="00EC36C7" w:rsidRDefault="000708FA"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025B63" w:rsidTr="00EC36C7">
        <w:trPr>
          <w:trHeight w:val="988"/>
        </w:trPr>
        <w:tc>
          <w:tcPr>
            <w:tcW w:w="4673" w:type="dxa"/>
          </w:tcPr>
          <w:p w:rsidR="007A6B81" w:rsidRDefault="000708FA" w:rsidP="007A6B81">
            <w:pPr>
              <w:outlineLvl w:val="0"/>
              <w:rPr>
                <w:rFonts w:cs="Arial"/>
                <w:szCs w:val="24"/>
              </w:rPr>
            </w:pPr>
            <w:r>
              <w:rPr>
                <w:rFonts w:cs="Arial"/>
                <w:szCs w:val="24"/>
              </w:rPr>
              <w:lastRenderedPageBreak/>
              <w:t xml:space="preserve"> </w:t>
            </w:r>
          </w:p>
        </w:tc>
        <w:tc>
          <w:tcPr>
            <w:tcW w:w="4253" w:type="dxa"/>
          </w:tcPr>
          <w:p w:rsidR="007A6B81" w:rsidRDefault="004836A4"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025B63" w:rsidTr="00EC36C7">
        <w:trPr>
          <w:trHeight w:val="286"/>
        </w:trPr>
        <w:tc>
          <w:tcPr>
            <w:tcW w:w="4673" w:type="dxa"/>
          </w:tcPr>
          <w:p w:rsidR="007A6B81" w:rsidRDefault="000708FA" w:rsidP="007A6B81">
            <w:pPr>
              <w:outlineLvl w:val="0"/>
              <w:rPr>
                <w:rFonts w:cs="Arial"/>
                <w:szCs w:val="24"/>
              </w:rPr>
            </w:pPr>
          </w:p>
        </w:tc>
        <w:tc>
          <w:tcPr>
            <w:tcW w:w="4253" w:type="dxa"/>
          </w:tcPr>
          <w:p w:rsidR="007A6B81" w:rsidRDefault="000708FA"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0708FA"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C517C8" w:rsidRPr="00F25C71" w:rsidRDefault="000708FA" w:rsidP="00C517C8">
      <w:pPr>
        <w:tabs>
          <w:tab w:val="left" w:pos="-720"/>
          <w:tab w:val="left" w:pos="0"/>
        </w:tabs>
        <w:suppressAutoHyphens/>
        <w:rPr>
          <w:rFonts w:cs="Arial"/>
          <w:sz w:val="18"/>
          <w:szCs w:val="18"/>
        </w:rPr>
      </w:pPr>
      <w:r w:rsidRPr="00F25C71">
        <w:rPr>
          <w:rFonts w:cs="Arial"/>
          <w:sz w:val="18"/>
          <w:szCs w:val="18"/>
        </w:rPr>
        <w:lastRenderedPageBreak/>
        <w:t xml:space="preserve">Anexo: </w:t>
      </w:r>
      <w:r>
        <w:rPr>
          <w:rFonts w:cs="Arial"/>
          <w:sz w:val="18"/>
          <w:szCs w:val="18"/>
        </w:rPr>
        <w:t xml:space="preserve">   SI  _x_     NO__                  Numero de folios______</w:t>
      </w:r>
    </w:p>
    <w:p w:rsidR="00C517C8" w:rsidRDefault="000708FA" w:rsidP="00C517C8">
      <w:pPr>
        <w:tabs>
          <w:tab w:val="left" w:pos="-720"/>
          <w:tab w:val="left" w:pos="0"/>
        </w:tabs>
        <w:suppressAutoHyphens/>
        <w:jc w:val="both"/>
        <w:rPr>
          <w:rFonts w:cs="Arial"/>
          <w:sz w:val="18"/>
          <w:szCs w:val="18"/>
        </w:rPr>
      </w:pPr>
      <w:r>
        <w:rPr>
          <w:rFonts w:cs="Arial"/>
          <w:sz w:val="18"/>
          <w:szCs w:val="18"/>
        </w:rPr>
        <w:t xml:space="preserve">Proyecto y elaboro: Rude Eduardo Manrique Díaz </w:t>
      </w:r>
    </w:p>
    <w:p w:rsidR="00C517C8" w:rsidRPr="00F25C71" w:rsidRDefault="000708FA" w:rsidP="00C517C8">
      <w:pPr>
        <w:tabs>
          <w:tab w:val="left" w:pos="-720"/>
          <w:tab w:val="left" w:pos="0"/>
        </w:tabs>
        <w:suppressAutoHyphens/>
        <w:jc w:val="both"/>
        <w:rPr>
          <w:rFonts w:cs="Arial"/>
          <w:sz w:val="18"/>
          <w:szCs w:val="18"/>
        </w:rPr>
      </w:pPr>
      <w:r>
        <w:rPr>
          <w:rFonts w:cs="Arial"/>
          <w:sz w:val="18"/>
          <w:szCs w:val="18"/>
        </w:rPr>
        <w:t xml:space="preserve">Reviso: Carmen Rosa Mendoza Suarez </w:t>
      </w:r>
    </w:p>
    <w:p w:rsidR="00815CDD" w:rsidRPr="00301D93" w:rsidRDefault="000708FA" w:rsidP="00C517C8">
      <w:pPr>
        <w:tabs>
          <w:tab w:val="left" w:pos="-720"/>
          <w:tab w:val="left" w:pos="0"/>
        </w:tabs>
        <w:suppressAutoHyphens/>
        <w:rPr>
          <w:rFonts w:cs="Arial"/>
          <w:sz w:val="18"/>
          <w:szCs w:val="18"/>
        </w:rPr>
      </w:pP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8FA" w:rsidRDefault="000708FA">
      <w:r>
        <w:separator/>
      </w:r>
    </w:p>
  </w:endnote>
  <w:endnote w:type="continuationSeparator" w:id="0">
    <w:p w:rsidR="000708FA" w:rsidRDefault="0007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0708FA" w:rsidP="0076554E">
    <w:pPr>
      <w:jc w:val="center"/>
      <w:rPr>
        <w:sz w:val="16"/>
        <w:szCs w:val="16"/>
      </w:rPr>
    </w:pPr>
    <w:hyperlink r:id="rId1" w:history="1">
      <w:r w:rsidRPr="00E57F2F">
        <w:rPr>
          <w:rStyle w:val="Hipervnculo"/>
          <w:sz w:val="16"/>
          <w:szCs w:val="16"/>
        </w:rPr>
        <w:t>www.contraloriabogota.gov.co</w:t>
      </w:r>
    </w:hyperlink>
  </w:p>
  <w:p w:rsidR="007732BF" w:rsidRPr="007732BF" w:rsidRDefault="000708FA" w:rsidP="0076554E">
    <w:pPr>
      <w:jc w:val="center"/>
      <w:rPr>
        <w:sz w:val="18"/>
        <w:szCs w:val="18"/>
      </w:rPr>
    </w:pPr>
    <w:r w:rsidRPr="007732BF">
      <w:rPr>
        <w:sz w:val="18"/>
        <w:szCs w:val="18"/>
      </w:rPr>
      <w:t>Código Postal 111321</w:t>
    </w:r>
  </w:p>
  <w:p w:rsidR="007732BF" w:rsidRPr="00A656FE" w:rsidRDefault="000708FA"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0708FA" w:rsidP="0076554E">
    <w:pPr>
      <w:jc w:val="center"/>
      <w:rPr>
        <w:sz w:val="18"/>
        <w:szCs w:val="18"/>
      </w:rPr>
    </w:pPr>
    <w:r w:rsidRPr="00A656FE">
      <w:rPr>
        <w:sz w:val="18"/>
        <w:szCs w:val="18"/>
      </w:rPr>
      <w:t>PBX 3358888</w:t>
    </w:r>
  </w:p>
  <w:p w:rsidR="007732BF" w:rsidRDefault="000708FA" w:rsidP="00BD6F23">
    <w:pPr>
      <w:pStyle w:val="Piedepgina"/>
      <w:jc w:val="left"/>
    </w:pPr>
  </w:p>
  <w:p w:rsidR="007732BF" w:rsidRDefault="000708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8FA" w:rsidRDefault="000708FA">
      <w:r>
        <w:separator/>
      </w:r>
    </w:p>
  </w:footnote>
  <w:footnote w:type="continuationSeparator" w:id="0">
    <w:p w:rsidR="000708FA" w:rsidRDefault="00070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0708FA"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0708FA">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0708FA">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3-2015-26294</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2015-12-18 08:58</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722542</w:t>
                          </w:r>
                          <w:bookmarkEnd w:id="4"/>
                        </w:p>
                        <w:p w:rsidR="007732BF" w:rsidRPr="00C71928" w:rsidRDefault="000708FA">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rsidRDefault="000708FA">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0708FA">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13000-24058</w:t>
                          </w:r>
                          <w:bookmarkEnd w:id="9"/>
                        </w:p>
                        <w:p w:rsidR="007732BF" w:rsidRPr="00FC7DD4" w:rsidRDefault="000708FA">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722542</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22218"/>
    <w:multiLevelType w:val="hybridMultilevel"/>
    <w:tmpl w:val="20DA8FF0"/>
    <w:lvl w:ilvl="0" w:tplc="20B2D11E">
      <w:start w:val="1"/>
      <w:numFmt w:val="bullet"/>
      <w:lvlText w:val=""/>
      <w:lvlJc w:val="left"/>
      <w:pPr>
        <w:ind w:left="720" w:hanging="360"/>
      </w:pPr>
      <w:rPr>
        <w:rFonts w:ascii="Symbol" w:hAnsi="Symbol" w:hint="default"/>
      </w:rPr>
    </w:lvl>
    <w:lvl w:ilvl="1" w:tplc="EB60546E" w:tentative="1">
      <w:start w:val="1"/>
      <w:numFmt w:val="bullet"/>
      <w:lvlText w:val="o"/>
      <w:lvlJc w:val="left"/>
      <w:pPr>
        <w:ind w:left="1440" w:hanging="360"/>
      </w:pPr>
      <w:rPr>
        <w:rFonts w:ascii="Courier New" w:hAnsi="Courier New" w:cs="Courier New" w:hint="default"/>
      </w:rPr>
    </w:lvl>
    <w:lvl w:ilvl="2" w:tplc="780A8376" w:tentative="1">
      <w:start w:val="1"/>
      <w:numFmt w:val="bullet"/>
      <w:lvlText w:val=""/>
      <w:lvlJc w:val="left"/>
      <w:pPr>
        <w:ind w:left="2160" w:hanging="360"/>
      </w:pPr>
      <w:rPr>
        <w:rFonts w:ascii="Wingdings" w:hAnsi="Wingdings" w:hint="default"/>
      </w:rPr>
    </w:lvl>
    <w:lvl w:ilvl="3" w:tplc="BEFEC412" w:tentative="1">
      <w:start w:val="1"/>
      <w:numFmt w:val="bullet"/>
      <w:lvlText w:val=""/>
      <w:lvlJc w:val="left"/>
      <w:pPr>
        <w:ind w:left="2880" w:hanging="360"/>
      </w:pPr>
      <w:rPr>
        <w:rFonts w:ascii="Symbol" w:hAnsi="Symbol" w:hint="default"/>
      </w:rPr>
    </w:lvl>
    <w:lvl w:ilvl="4" w:tplc="5E568ECC" w:tentative="1">
      <w:start w:val="1"/>
      <w:numFmt w:val="bullet"/>
      <w:lvlText w:val="o"/>
      <w:lvlJc w:val="left"/>
      <w:pPr>
        <w:ind w:left="3600" w:hanging="360"/>
      </w:pPr>
      <w:rPr>
        <w:rFonts w:ascii="Courier New" w:hAnsi="Courier New" w:cs="Courier New" w:hint="default"/>
      </w:rPr>
    </w:lvl>
    <w:lvl w:ilvl="5" w:tplc="A59E3518" w:tentative="1">
      <w:start w:val="1"/>
      <w:numFmt w:val="bullet"/>
      <w:lvlText w:val=""/>
      <w:lvlJc w:val="left"/>
      <w:pPr>
        <w:ind w:left="4320" w:hanging="360"/>
      </w:pPr>
      <w:rPr>
        <w:rFonts w:ascii="Wingdings" w:hAnsi="Wingdings" w:hint="default"/>
      </w:rPr>
    </w:lvl>
    <w:lvl w:ilvl="6" w:tplc="3D4AB032" w:tentative="1">
      <w:start w:val="1"/>
      <w:numFmt w:val="bullet"/>
      <w:lvlText w:val=""/>
      <w:lvlJc w:val="left"/>
      <w:pPr>
        <w:ind w:left="5040" w:hanging="360"/>
      </w:pPr>
      <w:rPr>
        <w:rFonts w:ascii="Symbol" w:hAnsi="Symbol" w:hint="default"/>
      </w:rPr>
    </w:lvl>
    <w:lvl w:ilvl="7" w:tplc="1826D8AA" w:tentative="1">
      <w:start w:val="1"/>
      <w:numFmt w:val="bullet"/>
      <w:lvlText w:val="o"/>
      <w:lvlJc w:val="left"/>
      <w:pPr>
        <w:ind w:left="5760" w:hanging="360"/>
      </w:pPr>
      <w:rPr>
        <w:rFonts w:ascii="Courier New" w:hAnsi="Courier New" w:cs="Courier New" w:hint="default"/>
      </w:rPr>
    </w:lvl>
    <w:lvl w:ilvl="8" w:tplc="6CB6E4F0" w:tentative="1">
      <w:start w:val="1"/>
      <w:numFmt w:val="bullet"/>
      <w:lvlText w:val=""/>
      <w:lvlJc w:val="left"/>
      <w:pPr>
        <w:ind w:left="6480" w:hanging="360"/>
      </w:pPr>
      <w:rPr>
        <w:rFonts w:ascii="Wingdings" w:hAnsi="Wingdings" w:hint="default"/>
      </w:rPr>
    </w:lvl>
  </w:abstractNum>
  <w:abstractNum w:abstractNumId="1" w15:restartNumberingAfterBreak="0">
    <w:nsid w:val="5A096431"/>
    <w:multiLevelType w:val="multilevel"/>
    <w:tmpl w:val="4A4CCE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E7925AA"/>
    <w:multiLevelType w:val="hybridMultilevel"/>
    <w:tmpl w:val="EDD6AD0A"/>
    <w:lvl w:ilvl="0" w:tplc="9B06DE60">
      <w:start w:val="1"/>
      <w:numFmt w:val="bullet"/>
      <w:lvlText w:val=""/>
      <w:lvlJc w:val="left"/>
      <w:pPr>
        <w:ind w:left="720" w:hanging="360"/>
      </w:pPr>
      <w:rPr>
        <w:rFonts w:ascii="Symbol" w:hAnsi="Symbol" w:hint="default"/>
      </w:rPr>
    </w:lvl>
    <w:lvl w:ilvl="1" w:tplc="9C04CAB6" w:tentative="1">
      <w:start w:val="1"/>
      <w:numFmt w:val="bullet"/>
      <w:lvlText w:val="o"/>
      <w:lvlJc w:val="left"/>
      <w:pPr>
        <w:ind w:left="1440" w:hanging="360"/>
      </w:pPr>
      <w:rPr>
        <w:rFonts w:ascii="Courier New" w:hAnsi="Courier New" w:cs="Courier New" w:hint="default"/>
      </w:rPr>
    </w:lvl>
    <w:lvl w:ilvl="2" w:tplc="276CC49E" w:tentative="1">
      <w:start w:val="1"/>
      <w:numFmt w:val="bullet"/>
      <w:lvlText w:val=""/>
      <w:lvlJc w:val="left"/>
      <w:pPr>
        <w:ind w:left="2160" w:hanging="360"/>
      </w:pPr>
      <w:rPr>
        <w:rFonts w:ascii="Wingdings" w:hAnsi="Wingdings" w:hint="default"/>
      </w:rPr>
    </w:lvl>
    <w:lvl w:ilvl="3" w:tplc="631C9CBE" w:tentative="1">
      <w:start w:val="1"/>
      <w:numFmt w:val="bullet"/>
      <w:lvlText w:val=""/>
      <w:lvlJc w:val="left"/>
      <w:pPr>
        <w:ind w:left="2880" w:hanging="360"/>
      </w:pPr>
      <w:rPr>
        <w:rFonts w:ascii="Symbol" w:hAnsi="Symbol" w:hint="default"/>
      </w:rPr>
    </w:lvl>
    <w:lvl w:ilvl="4" w:tplc="A1E2D578" w:tentative="1">
      <w:start w:val="1"/>
      <w:numFmt w:val="bullet"/>
      <w:lvlText w:val="o"/>
      <w:lvlJc w:val="left"/>
      <w:pPr>
        <w:ind w:left="3600" w:hanging="360"/>
      </w:pPr>
      <w:rPr>
        <w:rFonts w:ascii="Courier New" w:hAnsi="Courier New" w:cs="Courier New" w:hint="default"/>
      </w:rPr>
    </w:lvl>
    <w:lvl w:ilvl="5" w:tplc="FB382A72" w:tentative="1">
      <w:start w:val="1"/>
      <w:numFmt w:val="bullet"/>
      <w:lvlText w:val=""/>
      <w:lvlJc w:val="left"/>
      <w:pPr>
        <w:ind w:left="4320" w:hanging="360"/>
      </w:pPr>
      <w:rPr>
        <w:rFonts w:ascii="Wingdings" w:hAnsi="Wingdings" w:hint="default"/>
      </w:rPr>
    </w:lvl>
    <w:lvl w:ilvl="6" w:tplc="C452FAA6" w:tentative="1">
      <w:start w:val="1"/>
      <w:numFmt w:val="bullet"/>
      <w:lvlText w:val=""/>
      <w:lvlJc w:val="left"/>
      <w:pPr>
        <w:ind w:left="5040" w:hanging="360"/>
      </w:pPr>
      <w:rPr>
        <w:rFonts w:ascii="Symbol" w:hAnsi="Symbol" w:hint="default"/>
      </w:rPr>
    </w:lvl>
    <w:lvl w:ilvl="7" w:tplc="41B2C402" w:tentative="1">
      <w:start w:val="1"/>
      <w:numFmt w:val="bullet"/>
      <w:lvlText w:val="o"/>
      <w:lvlJc w:val="left"/>
      <w:pPr>
        <w:ind w:left="5760" w:hanging="360"/>
      </w:pPr>
      <w:rPr>
        <w:rFonts w:ascii="Courier New" w:hAnsi="Courier New" w:cs="Courier New" w:hint="default"/>
      </w:rPr>
    </w:lvl>
    <w:lvl w:ilvl="8" w:tplc="24566D0A" w:tentative="1">
      <w:start w:val="1"/>
      <w:numFmt w:val="bullet"/>
      <w:lvlText w:val=""/>
      <w:lvlJc w:val="left"/>
      <w:pPr>
        <w:ind w:left="6480" w:hanging="360"/>
      </w:pPr>
      <w:rPr>
        <w:rFonts w:ascii="Wingdings" w:hAnsi="Wingdings" w:hint="default"/>
      </w:rPr>
    </w:lvl>
  </w:abstractNum>
  <w:abstractNum w:abstractNumId="3" w15:restartNumberingAfterBreak="0">
    <w:nsid w:val="641E2B2E"/>
    <w:multiLevelType w:val="hybridMultilevel"/>
    <w:tmpl w:val="51242642"/>
    <w:lvl w:ilvl="0" w:tplc="F4EA67CC">
      <w:start w:val="1"/>
      <w:numFmt w:val="bullet"/>
      <w:lvlText w:val=""/>
      <w:lvlJc w:val="left"/>
      <w:pPr>
        <w:ind w:left="644" w:hanging="360"/>
      </w:pPr>
      <w:rPr>
        <w:rFonts w:ascii="Symbol" w:hAnsi="Symbol" w:hint="default"/>
      </w:rPr>
    </w:lvl>
    <w:lvl w:ilvl="1" w:tplc="84CADA52" w:tentative="1">
      <w:start w:val="1"/>
      <w:numFmt w:val="bullet"/>
      <w:lvlText w:val="o"/>
      <w:lvlJc w:val="left"/>
      <w:pPr>
        <w:ind w:left="1364" w:hanging="360"/>
      </w:pPr>
      <w:rPr>
        <w:rFonts w:ascii="Courier New" w:hAnsi="Courier New" w:cs="Courier New" w:hint="default"/>
      </w:rPr>
    </w:lvl>
    <w:lvl w:ilvl="2" w:tplc="1AB632CA" w:tentative="1">
      <w:start w:val="1"/>
      <w:numFmt w:val="bullet"/>
      <w:lvlText w:val=""/>
      <w:lvlJc w:val="left"/>
      <w:pPr>
        <w:ind w:left="2084" w:hanging="360"/>
      </w:pPr>
      <w:rPr>
        <w:rFonts w:ascii="Wingdings" w:hAnsi="Wingdings" w:hint="default"/>
      </w:rPr>
    </w:lvl>
    <w:lvl w:ilvl="3" w:tplc="FD0A2B4C" w:tentative="1">
      <w:start w:val="1"/>
      <w:numFmt w:val="bullet"/>
      <w:lvlText w:val=""/>
      <w:lvlJc w:val="left"/>
      <w:pPr>
        <w:ind w:left="2804" w:hanging="360"/>
      </w:pPr>
      <w:rPr>
        <w:rFonts w:ascii="Symbol" w:hAnsi="Symbol" w:hint="default"/>
      </w:rPr>
    </w:lvl>
    <w:lvl w:ilvl="4" w:tplc="8CD06CBA" w:tentative="1">
      <w:start w:val="1"/>
      <w:numFmt w:val="bullet"/>
      <w:lvlText w:val="o"/>
      <w:lvlJc w:val="left"/>
      <w:pPr>
        <w:ind w:left="3524" w:hanging="360"/>
      </w:pPr>
      <w:rPr>
        <w:rFonts w:ascii="Courier New" w:hAnsi="Courier New" w:cs="Courier New" w:hint="default"/>
      </w:rPr>
    </w:lvl>
    <w:lvl w:ilvl="5" w:tplc="887C8838" w:tentative="1">
      <w:start w:val="1"/>
      <w:numFmt w:val="bullet"/>
      <w:lvlText w:val=""/>
      <w:lvlJc w:val="left"/>
      <w:pPr>
        <w:ind w:left="4244" w:hanging="360"/>
      </w:pPr>
      <w:rPr>
        <w:rFonts w:ascii="Wingdings" w:hAnsi="Wingdings" w:hint="default"/>
      </w:rPr>
    </w:lvl>
    <w:lvl w:ilvl="6" w:tplc="6B3C4DC8" w:tentative="1">
      <w:start w:val="1"/>
      <w:numFmt w:val="bullet"/>
      <w:lvlText w:val=""/>
      <w:lvlJc w:val="left"/>
      <w:pPr>
        <w:ind w:left="4964" w:hanging="360"/>
      </w:pPr>
      <w:rPr>
        <w:rFonts w:ascii="Symbol" w:hAnsi="Symbol" w:hint="default"/>
      </w:rPr>
    </w:lvl>
    <w:lvl w:ilvl="7" w:tplc="4F1E9054" w:tentative="1">
      <w:start w:val="1"/>
      <w:numFmt w:val="bullet"/>
      <w:lvlText w:val="o"/>
      <w:lvlJc w:val="left"/>
      <w:pPr>
        <w:ind w:left="5684" w:hanging="360"/>
      </w:pPr>
      <w:rPr>
        <w:rFonts w:ascii="Courier New" w:hAnsi="Courier New" w:cs="Courier New" w:hint="default"/>
      </w:rPr>
    </w:lvl>
    <w:lvl w:ilvl="8" w:tplc="60FC1BC8" w:tentative="1">
      <w:start w:val="1"/>
      <w:numFmt w:val="bullet"/>
      <w:lvlText w:val=""/>
      <w:lvlJc w:val="left"/>
      <w:pPr>
        <w:ind w:left="6404"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63"/>
    <w:rsid w:val="00025B63"/>
    <w:rsid w:val="000708FA"/>
    <w:rsid w:val="004836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9C17657-1013-4924-B2C5-FE756AF9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AE19D-2800-4E2D-B1E9-E8E66E02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1</TotalTime>
  <Pages>6</Pages>
  <Words>1796</Words>
  <Characters>9881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11654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2015-12-18T14:01:00Z</dcterms:created>
  <dcterms:modified xsi:type="dcterms:W3CDTF">2015-12-18T14:01:00Z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